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32D94" w:rsidR="00B92B86" w:rsidP="0049749B" w:rsidRDefault="00B92B86" w14:paraId="110f5b4" w14:textId="110f5b4">
      <w:pPr>
        <w:spacing w:after="0" w:line="240" w:lineRule="auto"/>
        <w:jc w:val="right"/>
        <w15:collapsed w:val="false"/>
        <w:rPr>
          <w:rFonts w:ascii="Arial" w:hAnsi="Arial" w:cs="Arial"/>
          <w:color w:val="FF0000"/>
          <w:sz w:val="24"/>
          <w:szCs w:val="24"/>
        </w:rPr>
      </w:pPr>
      <w:bookmarkStart w:name="_GoBack" w:id="0"/>
      <w:bookmarkEnd w:id="0"/>
    </w:p>
    <w:p w:rsidRPr="00E32D94" w:rsidR="00797FF7" w:rsidP="00797FF7" w:rsidRDefault="00797FF7">
      <w:pPr>
        <w:spacing w:after="0" w:line="240" w:lineRule="auto"/>
        <w:jc w:val="both"/>
        <w:rPr>
          <w:rFonts w:ascii="Arial" w:hAnsi="Arial" w:eastAsia="Times New Roman" w:cs="Arial"/>
          <w:sz w:val="24"/>
          <w:szCs w:val="24"/>
          <w:lang w:eastAsia="hr-HR"/>
        </w:rPr>
      </w:pPr>
      <w:r w:rsidRPr="00E32D94">
        <w:rPr>
          <w:rFonts w:ascii="Arial" w:hAnsi="Arial" w:eastAsia="Times New Roman" w:cs="Arial"/>
          <w:sz w:val="24"/>
          <w:szCs w:val="24"/>
          <w:lang w:eastAsia="hr-HR"/>
        </w:rPr>
        <w:t xml:space="preserve">       REPUBLIKA HRVATSKA</w:t>
      </w:r>
    </w:p>
    <w:p w:rsidRPr="00E32D94" w:rsidR="00797FF7" w:rsidP="00797FF7" w:rsidRDefault="00797FF7">
      <w:pPr>
        <w:spacing w:after="0" w:line="240" w:lineRule="auto"/>
        <w:jc w:val="both"/>
        <w:rPr>
          <w:rFonts w:ascii="Arial" w:hAnsi="Arial" w:eastAsia="Times New Roman" w:cs="Arial"/>
          <w:sz w:val="24"/>
          <w:szCs w:val="24"/>
          <w:lang w:eastAsia="hr-HR"/>
        </w:rPr>
      </w:pPr>
      <w:r w:rsidRPr="00E32D94">
        <w:rPr>
          <w:rFonts w:ascii="Arial" w:hAnsi="Arial" w:eastAsia="Times New Roman" w:cs="Arial"/>
          <w:sz w:val="24"/>
          <w:szCs w:val="24"/>
          <w:lang w:eastAsia="hr-HR"/>
        </w:rPr>
        <w:t>TRGOVAČKI SUD U VARAŽDINU</w:t>
      </w:r>
      <w:r w:rsidRPr="00E32D94">
        <w:rPr>
          <w:rFonts w:ascii="Arial" w:hAnsi="Arial" w:eastAsia="Times New Roman" w:cs="Arial"/>
          <w:sz w:val="24"/>
          <w:szCs w:val="24"/>
          <w:lang w:eastAsia="hr-HR"/>
        </w:rPr>
        <w:tab/>
        <w:t xml:space="preserve">                    </w:t>
      </w:r>
    </w:p>
    <w:p w:rsidRPr="00E32D94" w:rsidR="00797FF7" w:rsidP="00797FF7" w:rsidRDefault="00797FF7">
      <w:pPr>
        <w:spacing w:after="0" w:line="240" w:lineRule="auto"/>
        <w:rPr>
          <w:rFonts w:ascii="Arial" w:hAnsi="Arial" w:eastAsia="Times New Roman" w:cs="Arial"/>
          <w:sz w:val="24"/>
          <w:szCs w:val="24"/>
          <w:lang w:eastAsia="hr-HR"/>
        </w:rPr>
      </w:pPr>
      <w:r w:rsidRPr="00E32D94">
        <w:rPr>
          <w:rFonts w:ascii="Arial" w:hAnsi="Arial" w:eastAsia="Times New Roman" w:cs="Arial"/>
          <w:sz w:val="24"/>
          <w:szCs w:val="24"/>
          <w:lang w:eastAsia="hr-HR"/>
        </w:rPr>
        <w:t xml:space="preserve">       Varaždin, Braće Radić 2</w:t>
      </w:r>
    </w:p>
    <w:p w:rsidRPr="00E32D94" w:rsidR="00797FF7" w:rsidP="0049749B" w:rsidRDefault="00797FF7">
      <w:pPr>
        <w:spacing w:after="0" w:line="240" w:lineRule="auto"/>
        <w:jc w:val="right"/>
        <w:rPr>
          <w:rFonts w:ascii="Arial" w:hAnsi="Arial" w:cs="Arial"/>
          <w:sz w:val="24"/>
          <w:szCs w:val="24"/>
        </w:rPr>
      </w:pPr>
    </w:p>
    <w:tbl>
      <w:tblPr>
        <w:tblW w:w="0" w:type="auto"/>
        <w:jc w:val="right"/>
        <w:tblCellMar>
          <w:left w:w="0" w:type="dxa"/>
          <w:right w:w="0" w:type="dxa"/>
        </w:tblCellMar>
        <w:tblLook w:firstRow="1" w:lastRow="1" w:firstColumn="1" w:lastColumn="1" w:noHBand="0" w:noVBand="0" w:val="01E0"/>
      </w:tblPr>
      <w:tblGrid>
        <w:gridCol w:w="4320"/>
      </w:tblGrid>
      <w:tr w:rsidRPr="00E32D94" w:rsidR="00340399" w:rsidTr="001D0E8B">
        <w:trPr>
          <w:jc w:val="right"/>
        </w:trPr>
        <w:tc>
          <w:tcPr>
            <w:tcW w:w="4320" w:type="dxa"/>
          </w:tcPr>
          <w:p w:rsidRPr="00E32D94" w:rsidR="00340399" w:rsidP="00CD1165" w:rsidRDefault="002F61DE">
            <w:pPr>
              <w:pStyle w:val="VSVerzija"/>
              <w:jc w:val="right"/>
              <w:rPr>
                <w:rFonts w:ascii="Arial" w:hAnsi="Arial" w:cs="Arial"/>
              </w:rPr>
            </w:pPr>
            <w:r w:rsidRPr="00E32D94">
              <w:rPr>
                <w:rFonts w:ascii="Arial" w:hAnsi="Arial" w:cs="Arial"/>
              </w:rPr>
              <w:t>Poslovni b</w:t>
            </w:r>
            <w:r w:rsidRPr="00E32D94" w:rsidR="0092437B">
              <w:rPr>
                <w:rFonts w:ascii="Arial" w:hAnsi="Arial" w:cs="Arial"/>
              </w:rPr>
              <w:t xml:space="preserve">roj: </w:t>
            </w:r>
            <w:r w:rsidRPr="00E32D94" w:rsidR="00F65D4C">
              <w:rPr>
                <w:rFonts w:ascii="Arial" w:hAnsi="Arial" w:cs="Arial"/>
              </w:rPr>
              <w:t>St</w:t>
            </w:r>
            <w:r w:rsidRPr="00E32D94" w:rsidR="0092437B">
              <w:rPr>
                <w:rFonts w:ascii="Arial" w:hAnsi="Arial" w:cs="Arial"/>
              </w:rPr>
              <w:t>-</w:t>
            </w:r>
            <w:r w:rsidR="00E27A31">
              <w:rPr>
                <w:rFonts w:ascii="Arial" w:hAnsi="Arial" w:cs="Arial"/>
              </w:rPr>
              <w:t>6</w:t>
            </w:r>
            <w:r w:rsidRPr="00E32D94" w:rsidR="00340399">
              <w:rPr>
                <w:rFonts w:ascii="Arial" w:hAnsi="Arial" w:cs="Arial"/>
              </w:rPr>
              <w:t>/</w:t>
            </w:r>
            <w:r w:rsidRPr="00E32D94" w:rsidR="00FE4624">
              <w:rPr>
                <w:rFonts w:ascii="Arial" w:hAnsi="Arial" w:cs="Arial"/>
              </w:rPr>
              <w:t>20</w:t>
            </w:r>
            <w:r w:rsidR="00E27A31">
              <w:rPr>
                <w:rFonts w:ascii="Arial" w:hAnsi="Arial" w:cs="Arial"/>
              </w:rPr>
              <w:t>24</w:t>
            </w:r>
            <w:r w:rsidRPr="00E32D94" w:rsidR="00340399">
              <w:rPr>
                <w:rFonts w:ascii="Arial" w:hAnsi="Arial" w:cs="Arial"/>
              </w:rPr>
              <w:t>-</w:t>
            </w:r>
            <w:r w:rsidR="00CD1165">
              <w:rPr>
                <w:rFonts w:ascii="Arial" w:hAnsi="Arial" w:cs="Arial"/>
              </w:rPr>
              <w:t>71</w:t>
            </w:r>
          </w:p>
        </w:tc>
      </w:tr>
    </w:tbl>
    <w:p w:rsidRPr="00E32D94" w:rsidR="00340399" w:rsidP="00340399" w:rsidRDefault="00340399">
      <w:pPr>
        <w:spacing w:after="0" w:line="240" w:lineRule="auto"/>
        <w:jc w:val="both"/>
        <w:rPr>
          <w:rFonts w:ascii="Arial" w:hAnsi="Arial" w:cs="Arial"/>
          <w:sz w:val="24"/>
          <w:szCs w:val="24"/>
        </w:rPr>
      </w:pPr>
    </w:p>
    <w:p w:rsidRPr="00E32D94" w:rsidR="008D05FD" w:rsidP="0049749B" w:rsidRDefault="008D05FD">
      <w:pPr>
        <w:spacing w:after="0" w:line="240" w:lineRule="auto"/>
        <w:jc w:val="both"/>
        <w:rPr>
          <w:rFonts w:ascii="Arial" w:hAnsi="Arial" w:cs="Arial"/>
          <w:sz w:val="24"/>
          <w:szCs w:val="24"/>
        </w:rPr>
      </w:pPr>
    </w:p>
    <w:p w:rsidRPr="00E32D94" w:rsidR="00F65D4C" w:rsidP="00F65D4C" w:rsidRDefault="00F65D4C">
      <w:pPr>
        <w:spacing w:after="0" w:line="240" w:lineRule="auto"/>
        <w:jc w:val="center"/>
        <w:rPr>
          <w:rFonts w:ascii="Arial" w:hAnsi="Arial" w:eastAsia="Times New Roman" w:cs="Arial"/>
          <w:sz w:val="24"/>
          <w:szCs w:val="24"/>
          <w:lang w:eastAsia="hr-HR"/>
        </w:rPr>
      </w:pPr>
      <w:r w:rsidRPr="00E32D94">
        <w:rPr>
          <w:rFonts w:ascii="Arial" w:hAnsi="Arial" w:eastAsia="Times New Roman" w:cs="Arial"/>
          <w:sz w:val="24"/>
          <w:szCs w:val="24"/>
          <w:lang w:eastAsia="hr-HR"/>
        </w:rPr>
        <w:t>Z A P I S N I K</w:t>
      </w:r>
    </w:p>
    <w:p w:rsidRPr="00E32D94" w:rsidR="00F65D4C" w:rsidP="00F65D4C" w:rsidRDefault="00F65D4C">
      <w:pPr>
        <w:spacing w:after="0" w:line="240" w:lineRule="auto"/>
        <w:jc w:val="center"/>
        <w:rPr>
          <w:rFonts w:ascii="Arial" w:hAnsi="Arial" w:eastAsia="Times New Roman" w:cs="Arial"/>
          <w:sz w:val="24"/>
          <w:szCs w:val="24"/>
          <w:lang w:eastAsia="hr-HR"/>
        </w:rPr>
      </w:pPr>
      <w:r w:rsidRPr="00E32D94">
        <w:rPr>
          <w:rFonts w:ascii="Arial" w:hAnsi="Arial" w:eastAsia="Times New Roman" w:cs="Arial"/>
          <w:sz w:val="24"/>
          <w:szCs w:val="24"/>
          <w:lang w:eastAsia="hr-HR"/>
        </w:rPr>
        <w:t xml:space="preserve">od </w:t>
      </w:r>
      <w:r w:rsidR="00E27A31">
        <w:rPr>
          <w:rFonts w:ascii="Arial" w:hAnsi="Arial" w:eastAsia="Times New Roman" w:cs="Arial"/>
          <w:sz w:val="24"/>
          <w:szCs w:val="24"/>
          <w:lang w:eastAsia="hr-HR"/>
        </w:rPr>
        <w:t>29</w:t>
      </w:r>
      <w:r w:rsidRPr="00E32D94">
        <w:rPr>
          <w:rFonts w:ascii="Arial" w:hAnsi="Arial" w:eastAsia="Times New Roman" w:cs="Arial"/>
          <w:sz w:val="24"/>
          <w:szCs w:val="24"/>
          <w:lang w:eastAsia="hr-HR"/>
        </w:rPr>
        <w:t xml:space="preserve">. </w:t>
      </w:r>
      <w:r w:rsidR="00E27A31">
        <w:rPr>
          <w:rFonts w:ascii="Arial" w:hAnsi="Arial" w:eastAsia="Times New Roman" w:cs="Arial"/>
          <w:sz w:val="24"/>
          <w:szCs w:val="24"/>
          <w:lang w:eastAsia="hr-HR"/>
        </w:rPr>
        <w:t>listopada</w:t>
      </w:r>
      <w:r w:rsidRPr="00E32D94" w:rsidR="00BB00A8">
        <w:rPr>
          <w:rFonts w:ascii="Arial" w:hAnsi="Arial" w:eastAsia="Times New Roman" w:cs="Arial"/>
          <w:sz w:val="24"/>
          <w:szCs w:val="24"/>
          <w:lang w:eastAsia="hr-HR"/>
        </w:rPr>
        <w:t xml:space="preserve"> 2</w:t>
      </w:r>
      <w:r w:rsidRPr="00E32D94" w:rsidR="009E2BBE">
        <w:rPr>
          <w:rFonts w:ascii="Arial" w:hAnsi="Arial" w:eastAsia="Times New Roman" w:cs="Arial"/>
          <w:sz w:val="24"/>
          <w:szCs w:val="24"/>
          <w:lang w:eastAsia="hr-HR"/>
        </w:rPr>
        <w:t>0</w:t>
      </w:r>
      <w:r w:rsidR="00E32D94">
        <w:rPr>
          <w:rFonts w:ascii="Arial" w:hAnsi="Arial" w:eastAsia="Times New Roman" w:cs="Arial"/>
          <w:sz w:val="24"/>
          <w:szCs w:val="24"/>
          <w:lang w:eastAsia="hr-HR"/>
        </w:rPr>
        <w:t>2</w:t>
      </w:r>
      <w:r w:rsidR="00E27A31">
        <w:rPr>
          <w:rFonts w:ascii="Arial" w:hAnsi="Arial" w:eastAsia="Times New Roman" w:cs="Arial"/>
          <w:sz w:val="24"/>
          <w:szCs w:val="24"/>
          <w:lang w:eastAsia="hr-HR"/>
        </w:rPr>
        <w:t>4</w:t>
      </w:r>
      <w:r w:rsidRPr="00E32D94">
        <w:rPr>
          <w:rFonts w:ascii="Arial" w:hAnsi="Arial" w:eastAsia="Times New Roman" w:cs="Arial"/>
          <w:sz w:val="24"/>
          <w:szCs w:val="24"/>
          <w:lang w:eastAsia="hr-HR"/>
        </w:rPr>
        <w:t xml:space="preserve">. </w:t>
      </w:r>
    </w:p>
    <w:p w:rsidRPr="00E32D94" w:rsidR="00877B67" w:rsidP="00877B67" w:rsidRDefault="00877B67">
      <w:pPr>
        <w:widowControl w:val="false"/>
        <w:spacing w:after="0" w:line="240" w:lineRule="auto"/>
        <w:jc w:val="center"/>
        <w:rPr>
          <w:rFonts w:ascii="Arial" w:hAnsi="Arial" w:eastAsia="Times New Roman" w:cs="Arial"/>
          <w:snapToGrid w:val="false"/>
          <w:sz w:val="24"/>
          <w:szCs w:val="24"/>
        </w:rPr>
      </w:pPr>
      <w:r w:rsidRPr="00E32D94">
        <w:rPr>
          <w:rFonts w:ascii="Arial" w:hAnsi="Arial" w:eastAsia="Times New Roman" w:cs="Arial"/>
          <w:snapToGrid w:val="false"/>
          <w:sz w:val="24"/>
          <w:szCs w:val="24"/>
        </w:rPr>
        <w:t>sastavljen kod Trgovačkog suda u Varaždinu,</w:t>
      </w:r>
    </w:p>
    <w:p w:rsidRPr="00E32D94" w:rsidR="00BA21D1" w:rsidP="006D2A83" w:rsidRDefault="00BA21D1">
      <w:pPr>
        <w:spacing w:after="0" w:line="240" w:lineRule="auto"/>
        <w:jc w:val="center"/>
        <w:rPr>
          <w:rFonts w:ascii="Arial" w:hAnsi="Arial" w:cs="Arial"/>
          <w:noProof/>
          <w:sz w:val="24"/>
          <w:szCs w:val="24"/>
          <w:lang w:eastAsia="hr-HR"/>
        </w:rPr>
      </w:pPr>
      <w:r w:rsidRPr="00E32D94">
        <w:rPr>
          <w:rFonts w:ascii="Arial" w:hAnsi="Arial" w:cs="Arial"/>
          <w:noProof/>
          <w:sz w:val="24"/>
          <w:szCs w:val="24"/>
          <w:lang w:eastAsia="hr-HR"/>
        </w:rPr>
        <w:t xml:space="preserve">radi </w:t>
      </w:r>
      <w:r w:rsidR="00E27A31">
        <w:rPr>
          <w:rFonts w:ascii="Arial" w:hAnsi="Arial" w:cs="Arial"/>
          <w:noProof/>
          <w:sz w:val="24"/>
          <w:szCs w:val="24"/>
          <w:lang w:eastAsia="hr-HR"/>
        </w:rPr>
        <w:t>utvrđenja vrijednosti nekretnine</w:t>
      </w:r>
      <w:r w:rsidR="00D151FE">
        <w:rPr>
          <w:rFonts w:ascii="Arial" w:hAnsi="Arial" w:cs="Arial"/>
          <w:noProof/>
          <w:sz w:val="24"/>
          <w:szCs w:val="24"/>
          <w:lang w:eastAsia="hr-HR"/>
        </w:rPr>
        <w:t xml:space="preserve"> i pokretnina</w:t>
      </w:r>
      <w:r w:rsidRPr="00E32D94">
        <w:rPr>
          <w:rFonts w:ascii="Arial" w:hAnsi="Arial" w:cs="Arial"/>
          <w:noProof/>
          <w:sz w:val="24"/>
          <w:szCs w:val="24"/>
          <w:lang w:eastAsia="hr-HR"/>
        </w:rPr>
        <w:t xml:space="preserve"> stečajnog dužnika </w:t>
      </w:r>
    </w:p>
    <w:p w:rsidRPr="00E32D94" w:rsidR="006D2A83" w:rsidP="006D2A83" w:rsidRDefault="00E27A31">
      <w:pPr>
        <w:spacing w:after="0" w:line="240" w:lineRule="auto"/>
        <w:jc w:val="center"/>
        <w:rPr>
          <w:rFonts w:ascii="Arial" w:hAnsi="Arial" w:cs="Arial"/>
          <w:sz w:val="24"/>
          <w:szCs w:val="24"/>
        </w:rPr>
      </w:pPr>
      <w:r w:rsidRPr="00E27A31">
        <w:rPr>
          <w:rFonts w:ascii="Arial" w:hAnsi="Arial" w:cs="Arial"/>
          <w:sz w:val="24"/>
          <w:szCs w:val="24"/>
        </w:rPr>
        <w:t>KASPAR PAPIR d.o.o. u stečaju, Prelog, Hrupine 9, OIB:51965705632</w:t>
      </w:r>
    </w:p>
    <w:p w:rsidRPr="00E32D94" w:rsidR="006D2A83" w:rsidP="006D2A83" w:rsidRDefault="006D2A83">
      <w:pPr>
        <w:spacing w:after="0" w:line="240" w:lineRule="auto"/>
        <w:jc w:val="both"/>
        <w:rPr>
          <w:rFonts w:ascii="Arial" w:hAnsi="Arial" w:cs="Arial"/>
          <w:sz w:val="24"/>
          <w:szCs w:val="24"/>
        </w:rPr>
      </w:pPr>
    </w:p>
    <w:p w:rsidRPr="00E32D94" w:rsidR="006D2A83" w:rsidP="006D2A83" w:rsidRDefault="006D2A83">
      <w:pPr>
        <w:spacing w:after="0" w:line="240" w:lineRule="auto"/>
        <w:jc w:val="both"/>
        <w:rPr>
          <w:rFonts w:ascii="Arial" w:hAnsi="Arial" w:eastAsia="Times New Roman" w:cs="Arial"/>
          <w:sz w:val="24"/>
          <w:szCs w:val="24"/>
          <w:lang w:eastAsia="hr-HR"/>
        </w:rPr>
      </w:pPr>
      <w:r w:rsidRPr="00E32D94">
        <w:rPr>
          <w:rFonts w:ascii="Arial" w:hAnsi="Arial" w:eastAsia="Times New Roman" w:cs="Arial"/>
          <w:sz w:val="24"/>
          <w:szCs w:val="24"/>
          <w:lang w:eastAsia="hr-HR"/>
        </w:rPr>
        <w:t xml:space="preserve">Nazočni od strane suda: </w:t>
      </w:r>
    </w:p>
    <w:p w:rsidRPr="00E32D94" w:rsidR="006D2A83" w:rsidP="006D2A83" w:rsidRDefault="006D2A83">
      <w:pPr>
        <w:spacing w:after="0" w:line="240" w:lineRule="auto"/>
        <w:jc w:val="both"/>
        <w:rPr>
          <w:rFonts w:ascii="Arial" w:hAnsi="Arial" w:eastAsia="Times New Roman" w:cs="Arial"/>
          <w:sz w:val="24"/>
          <w:szCs w:val="24"/>
          <w:lang w:eastAsia="hr-HR"/>
        </w:rPr>
      </w:pPr>
      <w:r w:rsidRPr="00E32D94">
        <w:rPr>
          <w:rFonts w:ascii="Arial" w:hAnsi="Arial" w:eastAsia="Times New Roman" w:cs="Arial"/>
          <w:sz w:val="24"/>
          <w:szCs w:val="24"/>
          <w:lang w:eastAsia="hr-HR"/>
        </w:rPr>
        <w:t xml:space="preserve">Sudac: Denis Krnjak  </w:t>
      </w:r>
    </w:p>
    <w:p w:rsidRPr="00E32D94" w:rsidR="006D2A83" w:rsidP="006D2A83" w:rsidRDefault="006D2A83">
      <w:pPr>
        <w:spacing w:after="0" w:line="240" w:lineRule="auto"/>
        <w:jc w:val="both"/>
        <w:rPr>
          <w:rFonts w:ascii="Arial" w:hAnsi="Arial" w:eastAsia="Times New Roman" w:cs="Arial"/>
          <w:sz w:val="24"/>
          <w:szCs w:val="24"/>
          <w:lang w:eastAsia="hr-HR"/>
        </w:rPr>
      </w:pPr>
      <w:r w:rsidRPr="00E32D94">
        <w:rPr>
          <w:rFonts w:ascii="Arial" w:hAnsi="Arial" w:eastAsia="Times New Roman" w:cs="Arial"/>
          <w:sz w:val="24"/>
          <w:szCs w:val="24"/>
          <w:lang w:eastAsia="hr-HR"/>
        </w:rPr>
        <w:t xml:space="preserve">Zapisničar: Nevenka Vuković </w:t>
      </w:r>
    </w:p>
    <w:p w:rsidRPr="00E32D94" w:rsidR="006D2A83" w:rsidP="006D2A83" w:rsidRDefault="006D2A83">
      <w:pPr>
        <w:spacing w:after="0" w:line="240" w:lineRule="auto"/>
        <w:jc w:val="both"/>
        <w:rPr>
          <w:rFonts w:ascii="Arial" w:hAnsi="Arial" w:cs="Arial"/>
          <w:sz w:val="24"/>
          <w:szCs w:val="24"/>
        </w:rPr>
      </w:pPr>
    </w:p>
    <w:p w:rsidRPr="00E32D94" w:rsidR="006D2A83" w:rsidP="006D2A83" w:rsidRDefault="006D2A83">
      <w:pPr>
        <w:spacing w:after="0" w:line="240" w:lineRule="auto"/>
        <w:jc w:val="both"/>
        <w:rPr>
          <w:rFonts w:ascii="Arial" w:hAnsi="Arial" w:cs="Arial"/>
          <w:sz w:val="24"/>
          <w:szCs w:val="24"/>
        </w:rPr>
      </w:pPr>
      <w:r w:rsidRPr="00E32D94">
        <w:rPr>
          <w:rFonts w:ascii="Arial" w:hAnsi="Arial" w:cs="Arial"/>
          <w:sz w:val="24"/>
          <w:szCs w:val="24"/>
        </w:rPr>
        <w:t xml:space="preserve">Početak u </w:t>
      </w:r>
      <w:r w:rsidR="00E32D94">
        <w:rPr>
          <w:rFonts w:ascii="Arial" w:hAnsi="Arial" w:cs="Arial"/>
          <w:sz w:val="24"/>
          <w:szCs w:val="24"/>
        </w:rPr>
        <w:t>09</w:t>
      </w:r>
      <w:r w:rsidRPr="00E32D94">
        <w:rPr>
          <w:rFonts w:ascii="Arial" w:hAnsi="Arial" w:cs="Arial"/>
          <w:sz w:val="24"/>
          <w:szCs w:val="24"/>
        </w:rPr>
        <w:t>:</w:t>
      </w:r>
      <w:r w:rsidRPr="00E32D94" w:rsidR="00BA21D1">
        <w:rPr>
          <w:rFonts w:ascii="Arial" w:hAnsi="Arial" w:cs="Arial"/>
          <w:sz w:val="24"/>
          <w:szCs w:val="24"/>
        </w:rPr>
        <w:t>0</w:t>
      </w:r>
      <w:r w:rsidRPr="00E32D94">
        <w:rPr>
          <w:rFonts w:ascii="Arial" w:hAnsi="Arial" w:cs="Arial"/>
          <w:sz w:val="24"/>
          <w:szCs w:val="24"/>
        </w:rPr>
        <w:t>0 sati.</w:t>
      </w:r>
    </w:p>
    <w:p w:rsidRPr="00E32D94" w:rsidR="00B872DE" w:rsidP="00B872DE" w:rsidRDefault="00B872DE">
      <w:pPr>
        <w:widowControl w:val="false"/>
        <w:spacing w:after="0" w:line="240" w:lineRule="auto"/>
        <w:jc w:val="both"/>
        <w:rPr>
          <w:rFonts w:ascii="Arial" w:hAnsi="Arial" w:eastAsia="Times New Roman" w:cs="Arial"/>
          <w:snapToGrid w:val="false"/>
          <w:sz w:val="24"/>
          <w:szCs w:val="24"/>
        </w:rPr>
      </w:pPr>
    </w:p>
    <w:p w:rsidRPr="00CD1165" w:rsidR="00877B67" w:rsidP="00877B67" w:rsidRDefault="00877B67">
      <w:pPr>
        <w:widowControl w:val="false"/>
        <w:spacing w:after="0" w:line="240" w:lineRule="auto"/>
        <w:jc w:val="both"/>
        <w:rPr>
          <w:rFonts w:ascii="Arial" w:hAnsi="Arial" w:eastAsia="Times New Roman" w:cs="Arial"/>
          <w:snapToGrid w:val="false"/>
          <w:sz w:val="24"/>
          <w:szCs w:val="24"/>
        </w:rPr>
      </w:pPr>
      <w:r w:rsidRPr="00CD1165">
        <w:rPr>
          <w:rFonts w:ascii="Arial" w:hAnsi="Arial" w:eastAsia="Times New Roman" w:cs="Arial"/>
          <w:snapToGrid w:val="false"/>
          <w:sz w:val="24"/>
          <w:szCs w:val="24"/>
        </w:rPr>
        <w:tab/>
        <w:t>Utvrđuje se da su pristupili:</w:t>
      </w:r>
    </w:p>
    <w:p w:rsidRPr="00CD1165" w:rsidR="00CD1165" w:rsidP="00CD1165" w:rsidRDefault="00CD1165">
      <w:pPr>
        <w:widowControl w:val="false"/>
        <w:spacing w:after="0" w:line="240" w:lineRule="auto"/>
        <w:rPr>
          <w:rFonts w:ascii="Arial" w:hAnsi="Arial" w:eastAsia="Times New Roman" w:cs="Arial"/>
          <w:snapToGrid w:val="false"/>
          <w:sz w:val="24"/>
          <w:szCs w:val="24"/>
        </w:rPr>
      </w:pPr>
      <w:r w:rsidRPr="00CD1165">
        <w:rPr>
          <w:rFonts w:ascii="Arial" w:hAnsi="Arial" w:eastAsia="Times New Roman" w:cs="Arial"/>
          <w:snapToGrid w:val="false"/>
          <w:sz w:val="24"/>
          <w:szCs w:val="24"/>
        </w:rPr>
        <w:t xml:space="preserve">- stečajni upravitelj: Ivo Žiža </w:t>
      </w:r>
    </w:p>
    <w:p w:rsidRPr="00CD1165" w:rsidR="00CD1165" w:rsidP="00CD1165" w:rsidRDefault="00CD1165">
      <w:pPr>
        <w:widowControl w:val="false"/>
        <w:spacing w:after="0" w:line="240" w:lineRule="auto"/>
        <w:rPr>
          <w:rFonts w:ascii="Arial" w:hAnsi="Arial" w:eastAsia="Times New Roman" w:cs="Arial"/>
          <w:snapToGrid w:val="false"/>
          <w:sz w:val="24"/>
          <w:szCs w:val="24"/>
        </w:rPr>
      </w:pPr>
      <w:r w:rsidRPr="00CD1165">
        <w:rPr>
          <w:rFonts w:ascii="Arial" w:hAnsi="Arial" w:eastAsia="Times New Roman" w:cs="Arial"/>
          <w:snapToGrid w:val="false"/>
          <w:sz w:val="24"/>
          <w:szCs w:val="24"/>
        </w:rPr>
        <w:t>- za vjerovnika RH, zastupnica po zakonu Jelena Knežević, zamjenica ŽDO Varaždin, Građansko upravni odjel</w:t>
      </w:r>
    </w:p>
    <w:p w:rsidRPr="000B2929" w:rsidR="00CD1165" w:rsidP="00CD1165" w:rsidRDefault="00CD1165">
      <w:pPr>
        <w:widowControl w:val="false"/>
        <w:spacing w:after="0" w:line="240" w:lineRule="auto"/>
        <w:rPr>
          <w:rFonts w:ascii="Arial" w:hAnsi="Arial" w:eastAsia="Times New Roman" w:cs="Arial"/>
          <w:snapToGrid w:val="false"/>
          <w:sz w:val="24"/>
          <w:szCs w:val="24"/>
        </w:rPr>
      </w:pPr>
      <w:r w:rsidRPr="000B2929">
        <w:rPr>
          <w:rFonts w:ascii="Arial" w:hAnsi="Arial" w:eastAsia="Times New Roman" w:cs="Arial"/>
          <w:snapToGrid w:val="false"/>
          <w:sz w:val="24"/>
          <w:szCs w:val="24"/>
        </w:rPr>
        <w:t>- za vjerovnika MARMABE d.o.o., direktor Marko Martinović</w:t>
      </w:r>
    </w:p>
    <w:p w:rsidRPr="000B2929" w:rsidR="00CD1165" w:rsidP="00CD1165" w:rsidRDefault="00CD1165">
      <w:pPr>
        <w:widowControl w:val="false"/>
        <w:spacing w:after="0" w:line="240" w:lineRule="auto"/>
        <w:rPr>
          <w:rFonts w:ascii="Arial" w:hAnsi="Arial" w:eastAsia="Times New Roman" w:cs="Arial"/>
          <w:snapToGrid w:val="false"/>
          <w:sz w:val="24"/>
          <w:szCs w:val="24"/>
        </w:rPr>
      </w:pPr>
      <w:r w:rsidRPr="000B2929">
        <w:rPr>
          <w:rFonts w:ascii="Arial" w:hAnsi="Arial" w:eastAsia="Times New Roman" w:cs="Arial"/>
          <w:snapToGrid w:val="false"/>
          <w:sz w:val="24"/>
          <w:szCs w:val="24"/>
        </w:rPr>
        <w:t>- za vjerovnika GORIČANE d.d., punomoćnik Karlo Novosel, odvjetnik iz Zagreba</w:t>
      </w:r>
    </w:p>
    <w:p w:rsidRPr="000B2929" w:rsidR="00CD1165" w:rsidP="00CD1165" w:rsidRDefault="00CD1165">
      <w:pPr>
        <w:widowControl w:val="false"/>
        <w:spacing w:after="0" w:line="240" w:lineRule="auto"/>
        <w:rPr>
          <w:rFonts w:ascii="Arial" w:hAnsi="Arial" w:eastAsia="Times New Roman" w:cs="Arial"/>
          <w:snapToGrid w:val="false"/>
          <w:sz w:val="24"/>
          <w:szCs w:val="24"/>
        </w:rPr>
      </w:pPr>
      <w:r w:rsidRPr="000B2929">
        <w:rPr>
          <w:rFonts w:ascii="Arial" w:hAnsi="Arial" w:eastAsia="Times New Roman" w:cs="Arial"/>
          <w:snapToGrid w:val="false"/>
          <w:sz w:val="24"/>
          <w:szCs w:val="24"/>
        </w:rPr>
        <w:t>- vjerovnik Davor Belić, osobno</w:t>
      </w:r>
    </w:p>
    <w:p w:rsidRPr="000B2929" w:rsidR="00CD1165" w:rsidP="00CD1165" w:rsidRDefault="00CD1165">
      <w:pPr>
        <w:widowControl w:val="false"/>
        <w:spacing w:after="0" w:line="240" w:lineRule="auto"/>
        <w:rPr>
          <w:rFonts w:ascii="Arial" w:hAnsi="Arial" w:eastAsia="Times New Roman" w:cs="Arial"/>
          <w:snapToGrid w:val="false"/>
          <w:sz w:val="24"/>
          <w:szCs w:val="24"/>
        </w:rPr>
      </w:pPr>
      <w:r w:rsidRPr="000B2929">
        <w:rPr>
          <w:rFonts w:ascii="Arial" w:hAnsi="Arial" w:eastAsia="Times New Roman" w:cs="Arial"/>
          <w:snapToGrid w:val="false"/>
          <w:sz w:val="24"/>
          <w:szCs w:val="24"/>
        </w:rPr>
        <w:t>- za vjerovnika GRANOSTA d.o.o., punomoćnik Neven Marić, odvjetnik iz Zagreba</w:t>
      </w:r>
    </w:p>
    <w:p w:rsidRPr="000B2929" w:rsidR="00CD1165" w:rsidP="00CD1165" w:rsidRDefault="00CD1165">
      <w:pPr>
        <w:widowControl w:val="false"/>
        <w:spacing w:after="0" w:line="240" w:lineRule="auto"/>
        <w:rPr>
          <w:rFonts w:ascii="Arial" w:hAnsi="Arial" w:eastAsia="Times New Roman" w:cs="Arial"/>
          <w:snapToGrid w:val="false"/>
          <w:sz w:val="24"/>
          <w:szCs w:val="24"/>
        </w:rPr>
      </w:pPr>
      <w:r w:rsidRPr="000B2929">
        <w:rPr>
          <w:rFonts w:ascii="Arial" w:hAnsi="Arial" w:eastAsia="Times New Roman" w:cs="Arial"/>
          <w:snapToGrid w:val="false"/>
          <w:sz w:val="24"/>
          <w:szCs w:val="24"/>
        </w:rPr>
        <w:t>- za vjerovnika MEĐIMURJE PMP d.o.o., direktor Božidar Žvorc</w:t>
      </w:r>
    </w:p>
    <w:p w:rsidRPr="000B2929" w:rsidR="0013044A" w:rsidP="00CD1165" w:rsidRDefault="00CD1165">
      <w:pPr>
        <w:widowControl w:val="false"/>
        <w:spacing w:after="0" w:line="240" w:lineRule="auto"/>
        <w:rPr>
          <w:rFonts w:ascii="Arial" w:hAnsi="Arial" w:eastAsia="Times New Roman" w:cs="Arial"/>
          <w:snapToGrid w:val="false"/>
          <w:sz w:val="24"/>
          <w:szCs w:val="24"/>
        </w:rPr>
      </w:pPr>
      <w:r w:rsidRPr="000B2929">
        <w:rPr>
          <w:rFonts w:ascii="Arial" w:hAnsi="Arial" w:eastAsia="Times New Roman" w:cs="Arial"/>
          <w:snapToGrid w:val="false"/>
          <w:sz w:val="24"/>
          <w:szCs w:val="24"/>
        </w:rPr>
        <w:t>- za vjerovnika PBZ d.d., punomoćnik Filip Piškulić, odvjetnik iz Zagreba</w:t>
      </w:r>
    </w:p>
    <w:p w:rsidR="0037424C" w:rsidP="0013044A" w:rsidRDefault="0037424C">
      <w:pPr>
        <w:widowControl w:val="false"/>
        <w:spacing w:after="0" w:line="240" w:lineRule="auto"/>
        <w:rPr>
          <w:rFonts w:ascii="Arial" w:hAnsi="Arial" w:eastAsia="Times New Roman" w:cs="Arial"/>
          <w:snapToGrid w:val="false"/>
          <w:color w:val="FF0000"/>
          <w:sz w:val="24"/>
          <w:szCs w:val="24"/>
        </w:rPr>
      </w:pPr>
    </w:p>
    <w:p w:rsidRPr="000B2929" w:rsidR="00CD1165" w:rsidP="00996635" w:rsidRDefault="000B2929">
      <w:pPr>
        <w:widowControl w:val="false"/>
        <w:spacing w:after="0" w:line="240" w:lineRule="auto"/>
        <w:jc w:val="both"/>
        <w:rPr>
          <w:rFonts w:ascii="Arial" w:hAnsi="Arial" w:eastAsia="Times New Roman" w:cs="Arial"/>
          <w:snapToGrid w:val="false"/>
          <w:sz w:val="24"/>
          <w:szCs w:val="24"/>
        </w:rPr>
      </w:pPr>
      <w:r>
        <w:rPr>
          <w:rFonts w:ascii="Arial" w:hAnsi="Arial" w:eastAsia="Times New Roman" w:cs="Arial"/>
          <w:snapToGrid w:val="false"/>
          <w:sz w:val="24"/>
          <w:szCs w:val="24"/>
        </w:rPr>
        <w:tab/>
      </w:r>
      <w:r w:rsidRPr="000B2929">
        <w:rPr>
          <w:rFonts w:ascii="Arial" w:hAnsi="Arial" w:eastAsia="Times New Roman" w:cs="Arial"/>
          <w:snapToGrid w:val="false"/>
          <w:sz w:val="24"/>
          <w:szCs w:val="24"/>
        </w:rPr>
        <w:t xml:space="preserve">Utvrđuje se da su na današnje ročište pristupili sudski vještaci </w:t>
      </w:r>
      <w:r w:rsidRPr="000B2929" w:rsidR="00CD1165">
        <w:rPr>
          <w:rFonts w:ascii="Arial" w:hAnsi="Arial" w:eastAsia="Times New Roman" w:cs="Arial"/>
          <w:snapToGrid w:val="false"/>
          <w:sz w:val="24"/>
          <w:szCs w:val="24"/>
        </w:rPr>
        <w:t>Krešimir Antulov</w:t>
      </w:r>
      <w:r w:rsidRPr="000B2929">
        <w:rPr>
          <w:rFonts w:ascii="Arial" w:hAnsi="Arial" w:eastAsia="Times New Roman" w:cs="Arial"/>
          <w:snapToGrid w:val="false"/>
          <w:sz w:val="24"/>
          <w:szCs w:val="24"/>
        </w:rPr>
        <w:t xml:space="preserve"> i </w:t>
      </w:r>
      <w:r w:rsidRPr="000B2929" w:rsidR="00CD1165">
        <w:rPr>
          <w:rFonts w:ascii="Arial" w:hAnsi="Arial" w:eastAsia="Times New Roman" w:cs="Arial"/>
          <w:snapToGrid w:val="false"/>
          <w:sz w:val="24"/>
          <w:szCs w:val="24"/>
        </w:rPr>
        <w:t>Tomislav Perković</w:t>
      </w:r>
      <w:r w:rsidRPr="000B2929">
        <w:rPr>
          <w:rFonts w:ascii="Arial" w:hAnsi="Arial" w:eastAsia="Times New Roman" w:cs="Arial"/>
          <w:snapToGrid w:val="false"/>
          <w:sz w:val="24"/>
          <w:szCs w:val="24"/>
        </w:rPr>
        <w:t>.</w:t>
      </w:r>
      <w:r w:rsidR="00996635">
        <w:rPr>
          <w:rFonts w:ascii="Arial" w:hAnsi="Arial" w:eastAsia="Times New Roman" w:cs="Arial"/>
          <w:snapToGrid w:val="false"/>
          <w:sz w:val="24"/>
          <w:szCs w:val="24"/>
        </w:rPr>
        <w:t xml:space="preserve"> </w:t>
      </w:r>
    </w:p>
    <w:p w:rsidRPr="000B2929" w:rsidR="00CD1165" w:rsidP="0013044A" w:rsidRDefault="00CD1165">
      <w:pPr>
        <w:widowControl w:val="false"/>
        <w:spacing w:after="0" w:line="240" w:lineRule="auto"/>
        <w:rPr>
          <w:rFonts w:ascii="Arial" w:hAnsi="Arial" w:eastAsia="Times New Roman" w:cs="Arial"/>
          <w:snapToGrid w:val="false"/>
          <w:sz w:val="24"/>
          <w:szCs w:val="24"/>
        </w:rPr>
      </w:pPr>
    </w:p>
    <w:p w:rsidRPr="003219EF" w:rsidR="003219EF" w:rsidP="003219EF" w:rsidRDefault="003219EF">
      <w:pPr>
        <w:pStyle w:val="Default"/>
        <w:jc w:val="both"/>
        <w:rPr>
          <w:rFonts w:ascii="Arial" w:hAnsi="Arial" w:eastAsia="Times New Roman" w:cs="Arial"/>
          <w:snapToGrid w:val="false"/>
          <w:color w:val="auto"/>
          <w:lang w:eastAsia="en-US"/>
        </w:rPr>
      </w:pPr>
      <w:r w:rsidRPr="003219EF">
        <w:rPr>
          <w:rFonts w:ascii="Arial" w:hAnsi="Arial" w:eastAsia="Times New Roman" w:cs="Arial"/>
          <w:snapToGrid w:val="false"/>
          <w:color w:val="auto"/>
          <w:lang w:eastAsia="en-US"/>
        </w:rPr>
        <w:tab/>
        <w:t>Utvrđuje se da je ovo ročište određeno radi utvrđenja vrijednosti</w:t>
      </w:r>
      <w:r w:rsidR="000A7072">
        <w:rPr>
          <w:rFonts w:ascii="Arial" w:hAnsi="Arial" w:eastAsia="Times New Roman" w:cs="Arial"/>
          <w:snapToGrid w:val="false"/>
          <w:color w:val="auto"/>
          <w:lang w:eastAsia="en-US"/>
        </w:rPr>
        <w:t xml:space="preserve"> </w:t>
      </w:r>
      <w:r w:rsidRPr="003219EF">
        <w:rPr>
          <w:rFonts w:ascii="Arial" w:hAnsi="Arial" w:eastAsia="Times New Roman" w:cs="Arial"/>
          <w:snapToGrid w:val="false"/>
          <w:color w:val="auto"/>
          <w:lang w:eastAsia="en-US"/>
        </w:rPr>
        <w:t>slijedeć</w:t>
      </w:r>
      <w:r w:rsidR="00E27A31">
        <w:rPr>
          <w:rFonts w:ascii="Arial" w:hAnsi="Arial" w:eastAsia="Times New Roman" w:cs="Arial"/>
          <w:snapToGrid w:val="false"/>
          <w:color w:val="auto"/>
          <w:lang w:eastAsia="en-US"/>
        </w:rPr>
        <w:t>e</w:t>
      </w:r>
      <w:r w:rsidRPr="003219EF">
        <w:rPr>
          <w:rFonts w:ascii="Arial" w:hAnsi="Arial" w:eastAsia="Times New Roman" w:cs="Arial"/>
          <w:snapToGrid w:val="false"/>
          <w:color w:val="auto"/>
          <w:lang w:eastAsia="en-US"/>
        </w:rPr>
        <w:t xml:space="preserve"> nekretnin</w:t>
      </w:r>
      <w:r w:rsidR="00E27A31">
        <w:rPr>
          <w:rFonts w:ascii="Arial" w:hAnsi="Arial" w:eastAsia="Times New Roman" w:cs="Arial"/>
          <w:snapToGrid w:val="false"/>
          <w:color w:val="auto"/>
          <w:lang w:eastAsia="en-US"/>
        </w:rPr>
        <w:t>e upisane</w:t>
      </w:r>
      <w:r>
        <w:rPr>
          <w:rFonts w:ascii="Arial" w:hAnsi="Arial" w:eastAsia="Times New Roman" w:cs="Arial"/>
          <w:snapToGrid w:val="false"/>
          <w:color w:val="auto"/>
          <w:lang w:eastAsia="en-US"/>
        </w:rPr>
        <w:t xml:space="preserve"> u</w:t>
      </w:r>
      <w:r w:rsidRPr="003219EF">
        <w:rPr>
          <w:rFonts w:ascii="Arial" w:hAnsi="Arial" w:eastAsia="Times New Roman" w:cs="Arial"/>
          <w:snapToGrid w:val="false"/>
          <w:color w:val="auto"/>
          <w:lang w:eastAsia="en-US"/>
        </w:rPr>
        <w:t xml:space="preserve">: </w:t>
      </w:r>
    </w:p>
    <w:p w:rsidRPr="003219EF" w:rsidR="003219EF" w:rsidP="003219EF" w:rsidRDefault="003219EF">
      <w:pPr>
        <w:spacing w:after="0" w:line="240" w:lineRule="auto"/>
        <w:ind w:left="405"/>
        <w:rPr>
          <w:rFonts w:ascii="Arial" w:hAnsi="Arial" w:eastAsia="Times New Roman" w:cs="Arial"/>
          <w:sz w:val="24"/>
          <w:szCs w:val="24"/>
        </w:rPr>
      </w:pPr>
    </w:p>
    <w:p w:rsidRPr="00CD1165" w:rsidR="003219EF" w:rsidP="003219EF" w:rsidRDefault="00E27A31">
      <w:pPr>
        <w:pStyle w:val="Default"/>
        <w:jc w:val="both"/>
        <w:rPr>
          <w:rFonts w:ascii="Arial" w:hAnsi="Arial" w:eastAsia="Times New Roman" w:cs="Arial"/>
          <w:snapToGrid w:val="false"/>
          <w:color w:val="FF0000"/>
          <w:lang w:eastAsia="en-US"/>
        </w:rPr>
      </w:pPr>
      <w:r w:rsidRPr="00E27A31">
        <w:rPr>
          <w:rFonts w:ascii="Arial" w:hAnsi="Arial" w:cs="Arial"/>
          <w:color w:val="auto"/>
          <w:lang w:eastAsia="en-US"/>
        </w:rPr>
        <w:t>- zk.ul. broj 8191, k.o. Prelog, čest. br. 1270/24/2, dvorište, skladište, industrijska zgrada, Prelog, Hru</w:t>
      </w:r>
      <w:r>
        <w:rPr>
          <w:rFonts w:ascii="Arial" w:hAnsi="Arial" w:cs="Arial"/>
          <w:color w:val="auto"/>
          <w:lang w:eastAsia="en-US"/>
        </w:rPr>
        <w:t>pine 9, ukupne površine 10043 m</w:t>
      </w:r>
      <w:r>
        <w:rPr>
          <w:rFonts w:ascii="Arial" w:hAnsi="Arial" w:cs="Arial"/>
          <w:color w:val="auto"/>
          <w:vertAlign w:val="superscript"/>
          <w:lang w:eastAsia="en-US"/>
        </w:rPr>
        <w:t>2</w:t>
      </w:r>
      <w:r w:rsidR="00CD1165">
        <w:rPr>
          <w:rFonts w:ascii="Arial" w:hAnsi="Arial" w:cs="Arial"/>
          <w:color w:val="auto"/>
          <w:lang w:eastAsia="en-US"/>
        </w:rPr>
        <w:t>.</w:t>
      </w:r>
    </w:p>
    <w:p w:rsidRPr="003219EF" w:rsidR="003219EF" w:rsidP="003219EF" w:rsidRDefault="003219EF">
      <w:pPr>
        <w:pStyle w:val="Default"/>
        <w:jc w:val="both"/>
        <w:rPr>
          <w:rFonts w:ascii="Arial" w:hAnsi="Arial" w:eastAsia="Times New Roman" w:cs="Arial"/>
          <w:snapToGrid w:val="false"/>
          <w:color w:val="FF0000"/>
          <w:lang w:eastAsia="en-US"/>
        </w:rPr>
      </w:pPr>
    </w:p>
    <w:p w:rsidRPr="000B2929" w:rsidR="00F030EE" w:rsidP="003219EF" w:rsidRDefault="000B2929">
      <w:pPr>
        <w:spacing w:after="0" w:line="240" w:lineRule="auto"/>
        <w:jc w:val="both"/>
        <w:rPr>
          <w:rFonts w:ascii="Arial" w:hAnsi="Arial" w:eastAsia="Times New Roman" w:cs="Arial"/>
          <w:snapToGrid w:val="false"/>
          <w:sz w:val="24"/>
          <w:szCs w:val="24"/>
        </w:rPr>
      </w:pPr>
      <w:r w:rsidRPr="000B2929">
        <w:rPr>
          <w:rFonts w:ascii="Arial" w:hAnsi="Arial" w:eastAsia="Times New Roman" w:cs="Arial"/>
          <w:snapToGrid w:val="false"/>
          <w:sz w:val="24"/>
          <w:szCs w:val="24"/>
        </w:rPr>
        <w:tab/>
        <w:t>Utvrđuje se da su u ovom postupku izrađene procjene vrijednosti nekretnine i pokretnina po stalnim sudskim vještacima Krešimiru Antulovu i Tomislavu Perkoviću, a prema kojim procjenama ne nekretnina upisana u zk.ul. 8191, k.o. Prelog procijenjena na iznos od 1.160.000,00 eura (bez pripadajućih poreza) te vrijednost pokretnina na iznos od 993.323,05  eura (bez pripadajućeg poreza).</w:t>
      </w:r>
    </w:p>
    <w:p w:rsidRPr="000B2929" w:rsidR="000B2929" w:rsidP="003219EF" w:rsidRDefault="000B2929">
      <w:pPr>
        <w:spacing w:after="0" w:line="240" w:lineRule="auto"/>
        <w:jc w:val="both"/>
        <w:rPr>
          <w:rFonts w:ascii="Arial" w:hAnsi="Arial" w:eastAsia="Times New Roman" w:cs="Arial"/>
          <w:snapToGrid w:val="false"/>
          <w:sz w:val="24"/>
          <w:szCs w:val="24"/>
        </w:rPr>
      </w:pPr>
    </w:p>
    <w:p w:rsidRPr="000B2929" w:rsidR="000B2929" w:rsidP="003219EF" w:rsidRDefault="000B2929">
      <w:pPr>
        <w:spacing w:after="0" w:line="240" w:lineRule="auto"/>
        <w:jc w:val="both"/>
        <w:rPr>
          <w:rFonts w:ascii="Arial" w:hAnsi="Arial" w:eastAsia="Times New Roman" w:cs="Arial"/>
          <w:snapToGrid w:val="false"/>
          <w:sz w:val="24"/>
          <w:szCs w:val="24"/>
        </w:rPr>
      </w:pPr>
      <w:r w:rsidRPr="000B2929">
        <w:rPr>
          <w:rFonts w:ascii="Arial" w:hAnsi="Arial" w:eastAsia="Times New Roman" w:cs="Arial"/>
          <w:snapToGrid w:val="false"/>
          <w:sz w:val="24"/>
          <w:szCs w:val="24"/>
        </w:rPr>
        <w:tab/>
        <w:t xml:space="preserve">Utvrđuje se da je u spis zaprimljen 21. listopada 2024. podnesak stečajnog i razlučnog vjerovnika MEĐIMURJE PMP d.o.o. koji je objavljen na e-Oglasnoj ploči. </w:t>
      </w:r>
    </w:p>
    <w:p w:rsidRPr="000B2929" w:rsidR="000B2929" w:rsidP="003219EF" w:rsidRDefault="000B2929">
      <w:pPr>
        <w:spacing w:after="0" w:line="240" w:lineRule="auto"/>
        <w:jc w:val="both"/>
        <w:rPr>
          <w:rFonts w:ascii="Arial" w:hAnsi="Arial" w:eastAsia="Times New Roman" w:cs="Arial"/>
          <w:snapToGrid w:val="false"/>
          <w:sz w:val="24"/>
          <w:szCs w:val="24"/>
        </w:rPr>
      </w:pPr>
    </w:p>
    <w:p w:rsidR="0090185B" w:rsidP="003219EF" w:rsidRDefault="000B2929">
      <w:pPr>
        <w:spacing w:after="0" w:line="240" w:lineRule="auto"/>
        <w:jc w:val="both"/>
        <w:rPr>
          <w:rFonts w:ascii="Arial" w:hAnsi="Arial" w:eastAsia="Times New Roman" w:cs="Arial"/>
          <w:snapToGrid w:val="false"/>
          <w:sz w:val="24"/>
          <w:szCs w:val="24"/>
        </w:rPr>
      </w:pPr>
      <w:r w:rsidRPr="00913273">
        <w:rPr>
          <w:rFonts w:ascii="Arial" w:hAnsi="Arial" w:eastAsia="Times New Roman" w:cs="Arial"/>
          <w:snapToGrid w:val="false"/>
          <w:sz w:val="24"/>
          <w:szCs w:val="24"/>
        </w:rPr>
        <w:lastRenderedPageBreak/>
        <w:tab/>
      </w:r>
      <w:r w:rsidRPr="00913273" w:rsidR="00913273">
        <w:rPr>
          <w:rFonts w:ascii="Arial" w:hAnsi="Arial" w:eastAsia="Times New Roman" w:cs="Arial"/>
          <w:snapToGrid w:val="false"/>
          <w:sz w:val="24"/>
          <w:szCs w:val="24"/>
        </w:rPr>
        <w:t xml:space="preserve">Stalni sudski vještak Tomislav Perković izjavljuje da je pročitao prigovore založnog vjerovnika Međimurje PMP te ističe da je potrebno izvršiti korekciju procijenjene vrijednosti nekretnine budući da su navodi založnog vjerovnika vezani za površine objekata točni. Ističe da je izvršio ponovnu izmjeru te na osnovu toga korigira ukupnu vrijednost nekretnine na iznos od 1.650.000,00 eura te i da je izradio novi elaborat koji predaje u spis. Vezano za prigovore koji se odnose na usporedne podatke vrijednosti objekata iz </w:t>
      </w:r>
      <w:r w:rsidR="00913273">
        <w:rPr>
          <w:rFonts w:ascii="Arial" w:hAnsi="Arial" w:eastAsia="Times New Roman" w:cs="Arial"/>
          <w:snapToGrid w:val="false"/>
          <w:sz w:val="24"/>
          <w:szCs w:val="24"/>
        </w:rPr>
        <w:t>manjih</w:t>
      </w:r>
      <w:r w:rsidRPr="00913273" w:rsidR="00913273">
        <w:rPr>
          <w:rFonts w:ascii="Arial" w:hAnsi="Arial" w:eastAsia="Times New Roman" w:cs="Arial"/>
          <w:snapToGrid w:val="false"/>
          <w:sz w:val="24"/>
          <w:szCs w:val="24"/>
        </w:rPr>
        <w:t xml:space="preserve"> okolnih mjesta ističe da je on kao vještak dužan uzeti u obzir transakcije koje su vršene u zadnje 4 godine prije izrade nalaza te da na području Preloga nije izvršen dovoljan broj transakcija pa su iz tog razloga uzete u obzir i cijene iz okolnih mjesta.</w:t>
      </w:r>
    </w:p>
    <w:p w:rsidR="0090185B" w:rsidP="003219EF" w:rsidRDefault="0090185B">
      <w:pPr>
        <w:spacing w:after="0" w:line="240" w:lineRule="auto"/>
        <w:jc w:val="both"/>
        <w:rPr>
          <w:rFonts w:ascii="Arial" w:hAnsi="Arial" w:eastAsia="Times New Roman" w:cs="Arial"/>
          <w:snapToGrid w:val="false"/>
          <w:sz w:val="24"/>
          <w:szCs w:val="24"/>
        </w:rPr>
      </w:pPr>
    </w:p>
    <w:p w:rsidRPr="00913273" w:rsidR="000B2929" w:rsidP="003219EF" w:rsidRDefault="0090185B">
      <w:pPr>
        <w:spacing w:after="0" w:line="240" w:lineRule="auto"/>
        <w:jc w:val="both"/>
        <w:rPr>
          <w:rFonts w:ascii="Arial" w:hAnsi="Arial" w:eastAsia="Times New Roman" w:cs="Arial"/>
          <w:snapToGrid w:val="false"/>
          <w:sz w:val="24"/>
          <w:szCs w:val="24"/>
        </w:rPr>
      </w:pPr>
      <w:r>
        <w:rPr>
          <w:rFonts w:ascii="Arial" w:hAnsi="Arial" w:eastAsia="Times New Roman" w:cs="Arial"/>
          <w:snapToGrid w:val="false"/>
          <w:sz w:val="24"/>
          <w:szCs w:val="24"/>
        </w:rPr>
        <w:tab/>
      </w:r>
      <w:r w:rsidRPr="00913273" w:rsidR="00913273">
        <w:rPr>
          <w:rFonts w:ascii="Arial" w:hAnsi="Arial" w:eastAsia="Times New Roman" w:cs="Arial"/>
          <w:snapToGrid w:val="false"/>
          <w:sz w:val="24"/>
          <w:szCs w:val="24"/>
        </w:rPr>
        <w:t>Utvrđuje se da je jedan primjerak dopunjenog nalaza priložen u spis te da će se isti objaviti na e-Oglasnoj ploči.</w:t>
      </w:r>
    </w:p>
    <w:p w:rsidR="00F030EE" w:rsidP="003219EF" w:rsidRDefault="00F030EE">
      <w:pPr>
        <w:spacing w:after="0" w:line="240" w:lineRule="auto"/>
        <w:jc w:val="both"/>
        <w:rPr>
          <w:rFonts w:ascii="Arial" w:hAnsi="Arial" w:eastAsia="Times New Roman" w:cs="Arial"/>
          <w:snapToGrid w:val="false"/>
          <w:sz w:val="24"/>
          <w:szCs w:val="24"/>
        </w:rPr>
      </w:pPr>
    </w:p>
    <w:p w:rsidR="00F030EE" w:rsidP="003219EF" w:rsidRDefault="00913273">
      <w:pPr>
        <w:spacing w:after="0" w:line="240" w:lineRule="auto"/>
        <w:jc w:val="both"/>
        <w:rPr>
          <w:rFonts w:ascii="Arial" w:hAnsi="Arial" w:eastAsia="Times New Roman" w:cs="Arial"/>
          <w:snapToGrid w:val="false"/>
          <w:sz w:val="24"/>
          <w:szCs w:val="24"/>
        </w:rPr>
      </w:pPr>
      <w:r>
        <w:rPr>
          <w:rFonts w:ascii="Arial" w:hAnsi="Arial" w:eastAsia="Times New Roman" w:cs="Arial"/>
          <w:snapToGrid w:val="false"/>
          <w:sz w:val="24"/>
          <w:szCs w:val="24"/>
        </w:rPr>
        <w:tab/>
      </w:r>
      <w:r w:rsidR="0090185B">
        <w:rPr>
          <w:rFonts w:ascii="Arial" w:hAnsi="Arial" w:eastAsia="Times New Roman" w:cs="Arial"/>
          <w:snapToGrid w:val="false"/>
          <w:sz w:val="24"/>
          <w:szCs w:val="24"/>
        </w:rPr>
        <w:t>Prisutnima se predočuje da će dopunjeni nalaz biti objavljen na e-Oglasnoj ploči te će svim zainteresiranim osobama biti omogućeno očitovanje u roku od 8 dana.</w:t>
      </w:r>
    </w:p>
    <w:p w:rsidR="0090185B" w:rsidP="003219EF" w:rsidRDefault="0090185B">
      <w:pPr>
        <w:spacing w:after="0" w:line="240" w:lineRule="auto"/>
        <w:jc w:val="both"/>
        <w:rPr>
          <w:rFonts w:ascii="Arial" w:hAnsi="Arial" w:eastAsia="Times New Roman" w:cs="Arial"/>
          <w:snapToGrid w:val="false"/>
          <w:sz w:val="24"/>
          <w:szCs w:val="24"/>
        </w:rPr>
      </w:pPr>
    </w:p>
    <w:p w:rsidR="0090185B" w:rsidP="003219EF" w:rsidRDefault="0090185B">
      <w:pPr>
        <w:spacing w:after="0" w:line="240" w:lineRule="auto"/>
        <w:jc w:val="both"/>
        <w:rPr>
          <w:rFonts w:ascii="Arial" w:hAnsi="Arial" w:eastAsia="Times New Roman" w:cs="Arial"/>
          <w:snapToGrid w:val="false"/>
          <w:sz w:val="24"/>
          <w:szCs w:val="24"/>
        </w:rPr>
      </w:pPr>
      <w:r>
        <w:rPr>
          <w:rFonts w:ascii="Arial" w:hAnsi="Arial" w:eastAsia="Times New Roman" w:cs="Arial"/>
          <w:snapToGrid w:val="false"/>
          <w:sz w:val="24"/>
          <w:szCs w:val="24"/>
        </w:rPr>
        <w:tab/>
        <w:t>Direktor založnog vjerovnika MEĐIMURJE PMP d.o.o. izjavljuje da ima saznanja da se zemljište na području Preloga prodaje danas po cijeni od oko 25,00 – 30,00 eura/m2.</w:t>
      </w:r>
    </w:p>
    <w:p w:rsidR="00F030EE" w:rsidP="003219EF" w:rsidRDefault="00F030EE">
      <w:pPr>
        <w:spacing w:after="0" w:line="240" w:lineRule="auto"/>
        <w:jc w:val="both"/>
        <w:rPr>
          <w:rFonts w:ascii="Arial" w:hAnsi="Arial" w:eastAsia="Times New Roman" w:cs="Arial"/>
          <w:snapToGrid w:val="false"/>
          <w:sz w:val="24"/>
          <w:szCs w:val="24"/>
        </w:rPr>
      </w:pPr>
    </w:p>
    <w:p w:rsidR="0090185B" w:rsidP="003219EF" w:rsidRDefault="0090185B">
      <w:pPr>
        <w:spacing w:after="0" w:line="240" w:lineRule="auto"/>
        <w:jc w:val="both"/>
        <w:rPr>
          <w:rFonts w:ascii="Arial" w:hAnsi="Arial" w:eastAsia="Times New Roman" w:cs="Arial"/>
          <w:snapToGrid w:val="false"/>
          <w:sz w:val="24"/>
          <w:szCs w:val="24"/>
        </w:rPr>
      </w:pPr>
      <w:r>
        <w:rPr>
          <w:rFonts w:ascii="Arial" w:hAnsi="Arial" w:eastAsia="Times New Roman" w:cs="Arial"/>
          <w:snapToGrid w:val="false"/>
          <w:sz w:val="24"/>
          <w:szCs w:val="24"/>
        </w:rPr>
        <w:tab/>
      </w:r>
      <w:r w:rsidR="00D728D4">
        <w:rPr>
          <w:rFonts w:ascii="Arial" w:hAnsi="Arial" w:eastAsia="Times New Roman" w:cs="Arial"/>
          <w:snapToGrid w:val="false"/>
          <w:sz w:val="24"/>
          <w:szCs w:val="24"/>
        </w:rPr>
        <w:t>Stalni sudski vještak Krešimir Antulov izjavljuje da je pročitao prigovore založnog vjerovnika Međimurj</w:t>
      </w:r>
      <w:r w:rsidR="00065370">
        <w:rPr>
          <w:rFonts w:ascii="Arial" w:hAnsi="Arial" w:eastAsia="Times New Roman" w:cs="Arial"/>
          <w:snapToGrid w:val="false"/>
          <w:sz w:val="24"/>
          <w:szCs w:val="24"/>
        </w:rPr>
        <w:t>e</w:t>
      </w:r>
      <w:r w:rsidR="00D728D4">
        <w:rPr>
          <w:rFonts w:ascii="Arial" w:hAnsi="Arial" w:eastAsia="Times New Roman" w:cs="Arial"/>
          <w:snapToGrid w:val="false"/>
          <w:sz w:val="24"/>
          <w:szCs w:val="24"/>
        </w:rPr>
        <w:t xml:space="preserve"> PMP te vezano</w:t>
      </w:r>
      <w:r w:rsidR="00466AFC">
        <w:rPr>
          <w:rFonts w:ascii="Arial" w:hAnsi="Arial" w:eastAsia="Times New Roman" w:cs="Arial"/>
          <w:snapToGrid w:val="false"/>
          <w:sz w:val="24"/>
          <w:szCs w:val="24"/>
        </w:rPr>
        <w:t xml:space="preserve"> za</w:t>
      </w:r>
      <w:r w:rsidR="00D728D4">
        <w:rPr>
          <w:rFonts w:ascii="Arial" w:hAnsi="Arial" w:eastAsia="Times New Roman" w:cs="Arial"/>
          <w:snapToGrid w:val="false"/>
          <w:sz w:val="24"/>
          <w:szCs w:val="24"/>
        </w:rPr>
        <w:t xml:space="preserve"> spornu pokretninu koja je u nalazu naznačena sa rednim brojem 37 "regalni sustav pokretni" je potrebno izvršiti korekciju procijenj</w:t>
      </w:r>
      <w:r w:rsidR="00065370">
        <w:rPr>
          <w:rFonts w:ascii="Arial" w:hAnsi="Arial" w:eastAsia="Times New Roman" w:cs="Arial"/>
          <w:snapToGrid w:val="false"/>
          <w:sz w:val="24"/>
          <w:szCs w:val="24"/>
        </w:rPr>
        <w:t>ene</w:t>
      </w:r>
      <w:r w:rsidR="00D728D4">
        <w:rPr>
          <w:rFonts w:ascii="Arial" w:hAnsi="Arial" w:eastAsia="Times New Roman" w:cs="Arial"/>
          <w:snapToGrid w:val="false"/>
          <w:sz w:val="24"/>
          <w:szCs w:val="24"/>
        </w:rPr>
        <w:t xml:space="preserve"> vrijednosti. Vještak pojašnjava da je prilikom izrade nalaza u siječnju ove godine za procjenu koristio podatke iz dužnikovog registra osnovnih sredstava gdje je pod inventurnim brojem 188 bilo naznačeno da je novo nabavna vrijednost te pokretnine 96.000,00 eura te je bila naznačena količina 1. Zbog prigovora koji se odnosi na tu pokretninu vještak je kontaktirao proizvođača društvo Primat logistika te je zaprimio novu ponudu koja je sačinjena prema parametrima iz ponude koja je sačinjena 2018. kada je ta pokretnina kupljena te je dobio podatak da prema sadašnjoj ponudi pokretnina ima vrijednost od 166.000,00 eura i to 5 regala. Uvažavajući ova nova saznanja vještak smatra da je potrebno korigirati vrijednost sporne pokretnine tako da sada ista iznosi 106.518,45 eura odnosno ukupna rekapitulacija svih pokretn</w:t>
      </w:r>
      <w:r w:rsidR="00065370">
        <w:rPr>
          <w:rFonts w:ascii="Arial" w:hAnsi="Arial" w:eastAsia="Times New Roman" w:cs="Arial"/>
          <w:snapToGrid w:val="false"/>
          <w:sz w:val="24"/>
          <w:szCs w:val="24"/>
        </w:rPr>
        <w:t>i</w:t>
      </w:r>
      <w:r w:rsidR="00D728D4">
        <w:rPr>
          <w:rFonts w:ascii="Arial" w:hAnsi="Arial" w:eastAsia="Times New Roman" w:cs="Arial"/>
          <w:snapToGrid w:val="false"/>
          <w:sz w:val="24"/>
          <w:szCs w:val="24"/>
        </w:rPr>
        <w:t xml:space="preserve">na u proizvodnim halama, a koje su označene sa rednim brojevima 1 do 39 bi iznosila 611.142,04 eura. Nadalje vezano za prigovore oko pokretnina koje su naznačene sa rednim brojevima 43 do 48 ističe da je riječ </w:t>
      </w:r>
      <w:r w:rsidR="00065370">
        <w:rPr>
          <w:rFonts w:ascii="Arial" w:hAnsi="Arial" w:eastAsia="Times New Roman" w:cs="Arial"/>
          <w:snapToGrid w:val="false"/>
          <w:sz w:val="24"/>
          <w:szCs w:val="24"/>
        </w:rPr>
        <w:t>o industrijskim vratima koja su ugrađena u samoj nekretnini te vezano za iste smatra da bi morale biti obuhvaćene zajedno sa vrijednošću nekretnine odnosno iste bi morale biti izuzete iz procjene pokretnina pa bi zaključno ukupna vrijednost svih pokretnina trebala biti 592.214,53 eura. Vezano za prigovore na pokretnine koje su označene sa rednim brojem 39 i 53 u cijelosti ostaje kod svog ranijeg navoda. U kratkom roku u spis će dostaviti dopunjeni nalaz.</w:t>
      </w:r>
    </w:p>
    <w:p w:rsidR="00065370" w:rsidP="003219EF" w:rsidRDefault="00065370">
      <w:pPr>
        <w:spacing w:after="0" w:line="240" w:lineRule="auto"/>
        <w:jc w:val="both"/>
        <w:rPr>
          <w:rFonts w:ascii="Arial" w:hAnsi="Arial" w:eastAsia="Times New Roman" w:cs="Arial"/>
          <w:snapToGrid w:val="false"/>
          <w:sz w:val="24"/>
          <w:szCs w:val="24"/>
        </w:rPr>
      </w:pPr>
    </w:p>
    <w:p w:rsidR="00065370" w:rsidP="003219EF" w:rsidRDefault="00065370">
      <w:pPr>
        <w:spacing w:after="0" w:line="240" w:lineRule="auto"/>
        <w:jc w:val="both"/>
        <w:rPr>
          <w:rFonts w:ascii="Arial" w:hAnsi="Arial" w:eastAsia="Times New Roman" w:cs="Arial"/>
          <w:snapToGrid w:val="false"/>
          <w:sz w:val="24"/>
          <w:szCs w:val="24"/>
        </w:rPr>
      </w:pPr>
      <w:r>
        <w:rPr>
          <w:rFonts w:ascii="Arial" w:hAnsi="Arial" w:eastAsia="Times New Roman" w:cs="Arial"/>
          <w:snapToGrid w:val="false"/>
          <w:sz w:val="24"/>
          <w:szCs w:val="24"/>
        </w:rPr>
        <w:tab/>
        <w:t xml:space="preserve">Prisutni se upoznaju da će po primitku dopune nalaza vještaka Krešimira Antulova isti biti objavljen na e-Oglasnoj ploči te će biti svim zainteresiranim osobama omogućeno da se očituju u roku od 8 dana. </w:t>
      </w:r>
    </w:p>
    <w:p w:rsidR="0090185B" w:rsidP="003219EF" w:rsidRDefault="0090185B">
      <w:pPr>
        <w:spacing w:after="0" w:line="240" w:lineRule="auto"/>
        <w:jc w:val="both"/>
        <w:rPr>
          <w:rFonts w:ascii="Arial" w:hAnsi="Arial" w:eastAsia="Times New Roman" w:cs="Arial"/>
          <w:snapToGrid w:val="false"/>
          <w:sz w:val="24"/>
          <w:szCs w:val="24"/>
        </w:rPr>
      </w:pPr>
    </w:p>
    <w:p w:rsidR="008D53B1" w:rsidP="003219EF" w:rsidRDefault="008E5CDA">
      <w:pPr>
        <w:spacing w:after="0" w:line="240" w:lineRule="auto"/>
        <w:jc w:val="both"/>
        <w:rPr>
          <w:rFonts w:ascii="Arial" w:hAnsi="Arial" w:eastAsia="Times New Roman" w:cs="Arial"/>
          <w:snapToGrid w:val="false"/>
          <w:sz w:val="24"/>
          <w:szCs w:val="24"/>
        </w:rPr>
      </w:pPr>
      <w:r>
        <w:rPr>
          <w:rFonts w:ascii="Arial" w:hAnsi="Arial" w:eastAsia="Times New Roman" w:cs="Arial"/>
          <w:snapToGrid w:val="false"/>
          <w:sz w:val="24"/>
          <w:szCs w:val="24"/>
        </w:rPr>
        <w:tab/>
        <w:t>Zastupnica vjerovnika RH postavlja pitanje vještaku Perkoviću da li je vrijednost pokretnina koje su naznačene u nalazu vještaka Antulova sa rednim brojevima 43 do 48 uzeo u obzir prilikom procjene vrijednosti nekretnine te vještak odgovara da je već</w:t>
      </w:r>
      <w:r w:rsidR="008D53B1">
        <w:rPr>
          <w:rFonts w:ascii="Arial" w:hAnsi="Arial" w:eastAsia="Times New Roman" w:cs="Arial"/>
          <w:snapToGrid w:val="false"/>
          <w:sz w:val="24"/>
          <w:szCs w:val="24"/>
        </w:rPr>
        <w:t xml:space="preserve"> prilikom procjene vrijednosti nekretnine</w:t>
      </w:r>
      <w:r>
        <w:rPr>
          <w:rFonts w:ascii="Arial" w:hAnsi="Arial" w:eastAsia="Times New Roman" w:cs="Arial"/>
          <w:snapToGrid w:val="false"/>
          <w:sz w:val="24"/>
          <w:szCs w:val="24"/>
        </w:rPr>
        <w:t xml:space="preserve"> uzeo</w:t>
      </w:r>
      <w:r w:rsidR="008D53B1">
        <w:rPr>
          <w:rFonts w:ascii="Arial" w:hAnsi="Arial" w:eastAsia="Times New Roman" w:cs="Arial"/>
          <w:snapToGrid w:val="false"/>
          <w:sz w:val="24"/>
          <w:szCs w:val="24"/>
        </w:rPr>
        <w:t xml:space="preserve"> u obzir</w:t>
      </w:r>
      <w:r>
        <w:rPr>
          <w:rFonts w:ascii="Arial" w:hAnsi="Arial" w:eastAsia="Times New Roman" w:cs="Arial"/>
          <w:snapToGrid w:val="false"/>
          <w:sz w:val="24"/>
          <w:szCs w:val="24"/>
        </w:rPr>
        <w:t xml:space="preserve"> vrijednost </w:t>
      </w:r>
      <w:r w:rsidR="008D53B1">
        <w:rPr>
          <w:rFonts w:ascii="Arial" w:hAnsi="Arial" w:eastAsia="Times New Roman" w:cs="Arial"/>
          <w:snapToGrid w:val="false"/>
          <w:sz w:val="24"/>
          <w:szCs w:val="24"/>
        </w:rPr>
        <w:t>tih pokretnina</w:t>
      </w:r>
      <w:r>
        <w:rPr>
          <w:rFonts w:ascii="Arial" w:hAnsi="Arial" w:eastAsia="Times New Roman" w:cs="Arial"/>
          <w:snapToGrid w:val="false"/>
          <w:sz w:val="24"/>
          <w:szCs w:val="24"/>
        </w:rPr>
        <w:t>.</w:t>
      </w:r>
    </w:p>
    <w:p w:rsidR="008E5CDA" w:rsidP="003219EF" w:rsidRDefault="008E5CDA">
      <w:pPr>
        <w:spacing w:after="0" w:line="240" w:lineRule="auto"/>
        <w:jc w:val="both"/>
        <w:rPr>
          <w:rFonts w:ascii="Arial" w:hAnsi="Arial" w:eastAsia="Times New Roman" w:cs="Arial"/>
          <w:snapToGrid w:val="false"/>
          <w:sz w:val="24"/>
          <w:szCs w:val="24"/>
        </w:rPr>
      </w:pPr>
      <w:r>
        <w:rPr>
          <w:rFonts w:ascii="Arial" w:hAnsi="Arial" w:eastAsia="Times New Roman" w:cs="Arial"/>
          <w:snapToGrid w:val="false"/>
          <w:sz w:val="24"/>
          <w:szCs w:val="24"/>
        </w:rPr>
        <w:t xml:space="preserve"> </w:t>
      </w:r>
    </w:p>
    <w:p w:rsidR="00466AFC" w:rsidP="00EF54F1" w:rsidRDefault="008D53B1">
      <w:pPr>
        <w:tabs>
          <w:tab w:val="left" w:pos="709"/>
        </w:tabs>
        <w:spacing w:after="0" w:line="240" w:lineRule="auto"/>
        <w:jc w:val="both"/>
        <w:rPr>
          <w:rFonts w:ascii="Arial" w:hAnsi="Arial" w:eastAsia="Times New Roman" w:cs="Arial"/>
          <w:snapToGrid w:val="false"/>
          <w:sz w:val="24"/>
          <w:szCs w:val="24"/>
        </w:rPr>
      </w:pPr>
      <w:r>
        <w:rPr>
          <w:rFonts w:ascii="Arial" w:hAnsi="Arial" w:eastAsia="Times New Roman" w:cs="Arial"/>
          <w:snapToGrid w:val="false"/>
          <w:sz w:val="24"/>
          <w:szCs w:val="24"/>
        </w:rPr>
        <w:tab/>
      </w:r>
      <w:r w:rsidR="00466AFC">
        <w:rPr>
          <w:rFonts w:ascii="Arial" w:hAnsi="Arial" w:eastAsia="Times New Roman" w:cs="Arial"/>
          <w:snapToGrid w:val="false"/>
          <w:sz w:val="24"/>
          <w:szCs w:val="24"/>
        </w:rPr>
        <w:t>Direktor založnog vjerovnika Međimurje PMP ističe da je dio pokretnina koje su sada zasebno procjenjivanje su se nalazile ugrađene na predm</w:t>
      </w:r>
      <w:r w:rsidR="009E1B48">
        <w:rPr>
          <w:rFonts w:ascii="Arial" w:hAnsi="Arial" w:eastAsia="Times New Roman" w:cs="Arial"/>
          <w:snapToGrid w:val="false"/>
          <w:sz w:val="24"/>
          <w:szCs w:val="24"/>
        </w:rPr>
        <w:t>e</w:t>
      </w:r>
      <w:r w:rsidR="00466AFC">
        <w:rPr>
          <w:rFonts w:ascii="Arial" w:hAnsi="Arial" w:eastAsia="Times New Roman" w:cs="Arial"/>
          <w:snapToGrid w:val="false"/>
          <w:sz w:val="24"/>
          <w:szCs w:val="24"/>
        </w:rPr>
        <w:t>tnoj nekretnini već prilikom dobivanja upor</w:t>
      </w:r>
      <w:r w:rsidR="009E1B48">
        <w:rPr>
          <w:rFonts w:ascii="Arial" w:hAnsi="Arial" w:eastAsia="Times New Roman" w:cs="Arial"/>
          <w:snapToGrid w:val="false"/>
          <w:sz w:val="24"/>
          <w:szCs w:val="24"/>
        </w:rPr>
        <w:t>a</w:t>
      </w:r>
      <w:r w:rsidR="00466AFC">
        <w:rPr>
          <w:rFonts w:ascii="Arial" w:hAnsi="Arial" w:eastAsia="Times New Roman" w:cs="Arial"/>
          <w:snapToGrid w:val="false"/>
          <w:sz w:val="24"/>
          <w:szCs w:val="24"/>
        </w:rPr>
        <w:t xml:space="preserve">bne dozvole te prema njegovom mišljenju se iste trebaju prodavati kao dio nekretnine. </w:t>
      </w:r>
    </w:p>
    <w:p w:rsidR="00466AFC" w:rsidP="003219EF" w:rsidRDefault="00466AFC">
      <w:pPr>
        <w:spacing w:after="0" w:line="240" w:lineRule="auto"/>
        <w:jc w:val="both"/>
        <w:rPr>
          <w:rFonts w:ascii="Arial" w:hAnsi="Arial" w:eastAsia="Times New Roman" w:cs="Arial"/>
          <w:snapToGrid w:val="false"/>
          <w:sz w:val="24"/>
          <w:szCs w:val="24"/>
        </w:rPr>
      </w:pPr>
    </w:p>
    <w:p w:rsidR="0090185B" w:rsidP="003219EF" w:rsidRDefault="00466AFC">
      <w:pPr>
        <w:spacing w:after="0" w:line="240" w:lineRule="auto"/>
        <w:jc w:val="both"/>
        <w:rPr>
          <w:rFonts w:ascii="Arial" w:hAnsi="Arial" w:eastAsia="Times New Roman" w:cs="Arial"/>
          <w:snapToGrid w:val="false"/>
          <w:sz w:val="24"/>
          <w:szCs w:val="24"/>
        </w:rPr>
      </w:pPr>
      <w:r>
        <w:rPr>
          <w:rFonts w:ascii="Arial" w:hAnsi="Arial" w:eastAsia="Times New Roman" w:cs="Arial"/>
          <w:snapToGrid w:val="false"/>
          <w:sz w:val="24"/>
          <w:szCs w:val="24"/>
        </w:rPr>
        <w:tab/>
        <w:t>Punomoćnik vjerovnika GRANOSTA d.o.o. izjavljuje da, a sada nakon što je vještak Antulov objasnio umanjenje vrijednosti pokretnine označene sa rednim brojem 37. "regalni sustav pokretni", da se ista logika mora primijeniti i za pokret</w:t>
      </w:r>
      <w:r w:rsidR="009E1B48">
        <w:rPr>
          <w:rFonts w:ascii="Arial" w:hAnsi="Arial" w:eastAsia="Times New Roman" w:cs="Arial"/>
          <w:snapToGrid w:val="false"/>
          <w:sz w:val="24"/>
          <w:szCs w:val="24"/>
        </w:rPr>
        <w:t>n</w:t>
      </w:r>
      <w:r>
        <w:rPr>
          <w:rFonts w:ascii="Arial" w:hAnsi="Arial" w:eastAsia="Times New Roman" w:cs="Arial"/>
          <w:snapToGrid w:val="false"/>
          <w:sz w:val="24"/>
          <w:szCs w:val="24"/>
        </w:rPr>
        <w:t>inu koje je naznačena rednim brojem 36. "bočni fiksn</w:t>
      </w:r>
      <w:r w:rsidR="009E1B48">
        <w:rPr>
          <w:rFonts w:ascii="Arial" w:hAnsi="Arial" w:eastAsia="Times New Roman" w:cs="Arial"/>
          <w:snapToGrid w:val="false"/>
          <w:sz w:val="24"/>
          <w:szCs w:val="24"/>
        </w:rPr>
        <w:t>i</w:t>
      </w:r>
      <w:r>
        <w:rPr>
          <w:rFonts w:ascii="Arial" w:hAnsi="Arial" w:eastAsia="Times New Roman" w:cs="Arial"/>
          <w:snapToGrid w:val="false"/>
          <w:sz w:val="24"/>
          <w:szCs w:val="24"/>
        </w:rPr>
        <w:t xml:space="preserve"> regal" te smatra da bi se vještak morao očitovati vezano za to.</w:t>
      </w:r>
    </w:p>
    <w:p w:rsidR="00C37B46" w:rsidP="003219EF" w:rsidRDefault="00C37B46">
      <w:pPr>
        <w:spacing w:after="0" w:line="240" w:lineRule="auto"/>
        <w:jc w:val="both"/>
        <w:rPr>
          <w:rFonts w:ascii="Arial" w:hAnsi="Arial" w:eastAsia="Times New Roman" w:cs="Arial"/>
          <w:snapToGrid w:val="false"/>
          <w:sz w:val="24"/>
          <w:szCs w:val="24"/>
        </w:rPr>
      </w:pPr>
      <w:r>
        <w:rPr>
          <w:rFonts w:ascii="Arial" w:hAnsi="Arial" w:eastAsia="Times New Roman" w:cs="Arial"/>
          <w:snapToGrid w:val="false"/>
          <w:sz w:val="24"/>
          <w:szCs w:val="24"/>
        </w:rPr>
        <w:tab/>
        <w:t>Vještak Krešimir Antulov odgovara na prednje te ističe da je u svojoj rekapitulaciji izvršio umanjenje i stavke koja je označena sa rednim brojem 36.</w:t>
      </w:r>
    </w:p>
    <w:p w:rsidR="00466AFC" w:rsidP="003219EF" w:rsidRDefault="00466AFC">
      <w:pPr>
        <w:spacing w:after="0" w:line="240" w:lineRule="auto"/>
        <w:jc w:val="both"/>
        <w:rPr>
          <w:rFonts w:ascii="Arial" w:hAnsi="Arial" w:eastAsia="Times New Roman" w:cs="Arial"/>
          <w:snapToGrid w:val="false"/>
          <w:sz w:val="24"/>
          <w:szCs w:val="24"/>
        </w:rPr>
      </w:pPr>
    </w:p>
    <w:p w:rsidR="00466AFC" w:rsidP="003219EF" w:rsidRDefault="00466AFC">
      <w:pPr>
        <w:spacing w:after="0" w:line="240" w:lineRule="auto"/>
        <w:jc w:val="both"/>
        <w:rPr>
          <w:rFonts w:ascii="Arial" w:hAnsi="Arial" w:eastAsia="Times New Roman" w:cs="Arial"/>
          <w:snapToGrid w:val="false"/>
          <w:sz w:val="24"/>
          <w:szCs w:val="24"/>
        </w:rPr>
      </w:pPr>
      <w:r>
        <w:rPr>
          <w:rFonts w:ascii="Arial" w:hAnsi="Arial" w:eastAsia="Times New Roman" w:cs="Arial"/>
          <w:snapToGrid w:val="false"/>
          <w:sz w:val="24"/>
          <w:szCs w:val="24"/>
        </w:rPr>
        <w:tab/>
        <w:t>Vjerovnik Davor Belić pojašnjava da je prilikom gradnje objekta on obnašao ulogu direktora te ima saznanja da je ponuda koja je dobivena od društva Primat logistika obuhvaćala cijeli regalni sustav te je plaćeno za taj regalni sustav oko 750.000,00 kn.</w:t>
      </w:r>
    </w:p>
    <w:p w:rsidR="00C37B46" w:rsidP="003219EF" w:rsidRDefault="00C37B46">
      <w:pPr>
        <w:spacing w:after="0" w:line="240" w:lineRule="auto"/>
        <w:jc w:val="both"/>
        <w:rPr>
          <w:rFonts w:ascii="Arial" w:hAnsi="Arial" w:eastAsia="Times New Roman" w:cs="Arial"/>
          <w:snapToGrid w:val="false"/>
          <w:sz w:val="24"/>
          <w:szCs w:val="24"/>
        </w:rPr>
      </w:pPr>
    </w:p>
    <w:p w:rsidRPr="00E32D94" w:rsidR="00BA21D1" w:rsidP="003219EF" w:rsidRDefault="00C37B46">
      <w:pPr>
        <w:spacing w:after="0" w:line="240" w:lineRule="auto"/>
        <w:jc w:val="both"/>
        <w:rPr>
          <w:rFonts w:ascii="Arial" w:hAnsi="Arial" w:eastAsia="Times New Roman" w:cs="Arial"/>
          <w:snapToGrid w:val="false"/>
          <w:sz w:val="24"/>
          <w:szCs w:val="24"/>
        </w:rPr>
      </w:pPr>
      <w:r>
        <w:rPr>
          <w:rFonts w:ascii="Arial" w:hAnsi="Arial" w:eastAsia="Times New Roman" w:cs="Arial"/>
          <w:snapToGrid w:val="false"/>
          <w:sz w:val="24"/>
          <w:szCs w:val="24"/>
        </w:rPr>
        <w:tab/>
      </w:r>
      <w:r w:rsidRPr="00E32D94" w:rsidR="0037424C">
        <w:rPr>
          <w:rFonts w:ascii="Arial" w:hAnsi="Arial" w:eastAsia="Times New Roman" w:cs="Arial"/>
          <w:snapToGrid w:val="false"/>
          <w:sz w:val="24"/>
          <w:szCs w:val="24"/>
        </w:rPr>
        <w:t>S</w:t>
      </w:r>
      <w:r w:rsidRPr="00E32D94" w:rsidR="00BA21D1">
        <w:rPr>
          <w:rFonts w:ascii="Arial" w:hAnsi="Arial" w:eastAsia="Times New Roman" w:cs="Arial"/>
          <w:snapToGrid w:val="false"/>
          <w:sz w:val="24"/>
          <w:szCs w:val="24"/>
        </w:rPr>
        <w:t>ud donosi</w:t>
      </w:r>
    </w:p>
    <w:p w:rsidRPr="003219EF" w:rsidR="00BA21D1" w:rsidP="003219EF" w:rsidRDefault="000A7072">
      <w:pPr>
        <w:spacing w:after="0" w:line="240" w:lineRule="auto"/>
        <w:jc w:val="center"/>
        <w:rPr>
          <w:rFonts w:ascii="Arial" w:hAnsi="Arial" w:eastAsia="Times New Roman" w:cs="Arial"/>
          <w:snapToGrid w:val="false"/>
          <w:sz w:val="24"/>
          <w:szCs w:val="24"/>
        </w:rPr>
      </w:pPr>
      <w:r>
        <w:rPr>
          <w:rFonts w:ascii="Arial" w:hAnsi="Arial" w:eastAsia="Times New Roman" w:cs="Arial"/>
          <w:snapToGrid w:val="false"/>
          <w:sz w:val="24"/>
          <w:szCs w:val="24"/>
        </w:rPr>
        <w:t xml:space="preserve">z a k lj u č a k </w:t>
      </w:r>
    </w:p>
    <w:p w:rsidRPr="00E32D94" w:rsidR="00BA21D1" w:rsidP="003219EF" w:rsidRDefault="00BA21D1">
      <w:pPr>
        <w:spacing w:after="0" w:line="240" w:lineRule="auto"/>
        <w:jc w:val="both"/>
        <w:rPr>
          <w:rFonts w:ascii="Arial" w:hAnsi="Arial" w:eastAsia="Times New Roman" w:cs="Arial"/>
          <w:snapToGrid w:val="false"/>
          <w:sz w:val="24"/>
          <w:szCs w:val="24"/>
        </w:rPr>
      </w:pPr>
    </w:p>
    <w:p w:rsidR="00CE5C2C" w:rsidP="008D53B1" w:rsidRDefault="00BA21D1">
      <w:pPr>
        <w:spacing w:after="0" w:line="240" w:lineRule="auto"/>
        <w:jc w:val="both"/>
        <w:rPr>
          <w:rFonts w:ascii="Arial" w:hAnsi="Arial" w:eastAsia="Times New Roman" w:cs="Arial"/>
          <w:snapToGrid w:val="false"/>
          <w:sz w:val="24"/>
          <w:szCs w:val="24"/>
        </w:rPr>
      </w:pPr>
      <w:r w:rsidRPr="00E32D94">
        <w:rPr>
          <w:rFonts w:ascii="Arial" w:hAnsi="Arial" w:eastAsia="Times New Roman" w:cs="Arial"/>
          <w:snapToGrid w:val="false"/>
          <w:sz w:val="24"/>
          <w:szCs w:val="24"/>
        </w:rPr>
        <w:tab/>
      </w:r>
      <w:r w:rsidR="000A7072">
        <w:rPr>
          <w:rFonts w:ascii="Arial" w:hAnsi="Arial" w:eastAsia="Times New Roman" w:cs="Arial"/>
          <w:snapToGrid w:val="false"/>
          <w:sz w:val="24"/>
          <w:szCs w:val="24"/>
        </w:rPr>
        <w:t>I.</w:t>
      </w:r>
      <w:r w:rsidR="000A7072">
        <w:rPr>
          <w:rFonts w:ascii="Arial" w:hAnsi="Arial" w:eastAsia="Times New Roman" w:cs="Arial"/>
          <w:snapToGrid w:val="false"/>
          <w:sz w:val="24"/>
          <w:szCs w:val="24"/>
        </w:rPr>
        <w:tab/>
      </w:r>
      <w:r w:rsidR="008D53B1">
        <w:rPr>
          <w:rFonts w:ascii="Arial" w:hAnsi="Arial" w:eastAsia="Times New Roman" w:cs="Arial"/>
          <w:snapToGrid w:val="false"/>
          <w:sz w:val="24"/>
          <w:szCs w:val="24"/>
        </w:rPr>
        <w:t>Pozivaju se stalni sudski vještaci Tomislav Perković i Krešimir Antulov da u spis u roku od 15 dana dostave dopune svojih nalaza te da prilikom izrade dopune uzmu u obzir sve navode zainteresiranih osoba sa današnjeg ročišta te i da uzmu u obzir da će se u ovom stečajnom postupku zajedno sa nekretninom upisanom u zk.ul.8191, k.o. Prelog, čest.br. 1270/24/2, prodavati i pokretnine koje su procijenjene u nalazu vještaka Krešimira A</w:t>
      </w:r>
      <w:r w:rsidR="00CE5C2C">
        <w:rPr>
          <w:rFonts w:ascii="Arial" w:hAnsi="Arial" w:eastAsia="Times New Roman" w:cs="Arial"/>
          <w:snapToGrid w:val="false"/>
          <w:sz w:val="24"/>
          <w:szCs w:val="24"/>
        </w:rPr>
        <w:t>ntulova te da je potrebno osigurati da se ista pokretnina ne procjenjuje i prilikom procjene vrijednosti nekretnine i prilikom procjene vrijednost pokretnina.</w:t>
      </w:r>
    </w:p>
    <w:p w:rsidR="00CE5C2C" w:rsidP="008D53B1" w:rsidRDefault="00CE5C2C">
      <w:pPr>
        <w:spacing w:after="0" w:line="240" w:lineRule="auto"/>
        <w:jc w:val="both"/>
        <w:rPr>
          <w:rFonts w:ascii="Arial" w:hAnsi="Arial" w:eastAsia="Times New Roman" w:cs="Arial"/>
          <w:snapToGrid w:val="false"/>
          <w:sz w:val="24"/>
          <w:szCs w:val="24"/>
        </w:rPr>
      </w:pPr>
    </w:p>
    <w:p w:rsidR="000A7072" w:rsidP="008D53B1" w:rsidRDefault="00CE5C2C">
      <w:pPr>
        <w:spacing w:after="0" w:line="240" w:lineRule="auto"/>
        <w:jc w:val="both"/>
        <w:rPr>
          <w:rFonts w:ascii="Arial" w:hAnsi="Arial" w:eastAsia="Times New Roman" w:cs="Arial"/>
          <w:snapToGrid w:val="false"/>
          <w:sz w:val="24"/>
          <w:szCs w:val="24"/>
        </w:rPr>
      </w:pPr>
      <w:r>
        <w:rPr>
          <w:rFonts w:ascii="Arial" w:hAnsi="Arial" w:eastAsia="Times New Roman" w:cs="Arial"/>
          <w:snapToGrid w:val="false"/>
          <w:sz w:val="24"/>
          <w:szCs w:val="24"/>
        </w:rPr>
        <w:tab/>
        <w:t>II.</w:t>
      </w:r>
      <w:r>
        <w:rPr>
          <w:rFonts w:ascii="Arial" w:hAnsi="Arial" w:eastAsia="Times New Roman" w:cs="Arial"/>
          <w:snapToGrid w:val="false"/>
          <w:sz w:val="24"/>
          <w:szCs w:val="24"/>
        </w:rPr>
        <w:tab/>
        <w:t>Po zaprimanju dopuna nalaza vještaka iste će biti objavljene na e-Oglasnoj ploči te se pozivaju sve zainter</w:t>
      </w:r>
      <w:r w:rsidR="00FF7EDD">
        <w:rPr>
          <w:rFonts w:ascii="Arial" w:hAnsi="Arial" w:eastAsia="Times New Roman" w:cs="Arial"/>
          <w:snapToGrid w:val="false"/>
          <w:sz w:val="24"/>
          <w:szCs w:val="24"/>
        </w:rPr>
        <w:t>e</w:t>
      </w:r>
      <w:r>
        <w:rPr>
          <w:rFonts w:ascii="Arial" w:hAnsi="Arial" w:eastAsia="Times New Roman" w:cs="Arial"/>
          <w:snapToGrid w:val="false"/>
          <w:sz w:val="24"/>
          <w:szCs w:val="24"/>
        </w:rPr>
        <w:t xml:space="preserve">sirane osobe na eventualno očitovanje u roku od 8 dana od dana objave nalaza na e-Oglasnoj ploči.  </w:t>
      </w:r>
    </w:p>
    <w:p w:rsidR="00FF7EDD" w:rsidP="008D53B1" w:rsidRDefault="00FF7EDD">
      <w:pPr>
        <w:spacing w:after="0" w:line="240" w:lineRule="auto"/>
        <w:jc w:val="both"/>
        <w:rPr>
          <w:rFonts w:ascii="Arial" w:hAnsi="Arial" w:eastAsia="Times New Roman" w:cs="Arial"/>
          <w:snapToGrid w:val="false"/>
          <w:sz w:val="24"/>
          <w:szCs w:val="24"/>
        </w:rPr>
      </w:pPr>
    </w:p>
    <w:p w:rsidR="00FF7EDD" w:rsidP="008D53B1" w:rsidRDefault="00FF7EDD">
      <w:pPr>
        <w:spacing w:after="0" w:line="240" w:lineRule="auto"/>
        <w:jc w:val="both"/>
        <w:rPr>
          <w:rFonts w:ascii="Arial" w:hAnsi="Arial" w:eastAsia="Times New Roman" w:cs="Arial"/>
          <w:snapToGrid w:val="false"/>
          <w:sz w:val="24"/>
          <w:szCs w:val="24"/>
        </w:rPr>
      </w:pPr>
      <w:r>
        <w:rPr>
          <w:rFonts w:ascii="Arial" w:hAnsi="Arial" w:eastAsia="Times New Roman" w:cs="Arial"/>
          <w:snapToGrid w:val="false"/>
          <w:sz w:val="24"/>
          <w:szCs w:val="24"/>
        </w:rPr>
        <w:tab/>
        <w:t>III.</w:t>
      </w:r>
      <w:r>
        <w:rPr>
          <w:rFonts w:ascii="Arial" w:hAnsi="Arial" w:eastAsia="Times New Roman" w:cs="Arial"/>
          <w:snapToGrid w:val="false"/>
          <w:sz w:val="24"/>
          <w:szCs w:val="24"/>
        </w:rPr>
        <w:tab/>
        <w:t>Vrijednost nekretnine i pokretnina koje će se unovčavati prema ovršnim pravilima utvrdit će sud zaključkom o prodaji.</w:t>
      </w:r>
    </w:p>
    <w:p w:rsidR="00CE5C2C" w:rsidP="008D53B1" w:rsidRDefault="00CE5C2C">
      <w:pPr>
        <w:spacing w:after="0" w:line="240" w:lineRule="auto"/>
        <w:jc w:val="both"/>
        <w:rPr>
          <w:rFonts w:ascii="Arial" w:hAnsi="Arial" w:eastAsia="Times New Roman" w:cs="Arial"/>
          <w:snapToGrid w:val="false"/>
          <w:sz w:val="24"/>
          <w:szCs w:val="24"/>
        </w:rPr>
      </w:pPr>
    </w:p>
    <w:p w:rsidRPr="00E32D94" w:rsidR="006F4023" w:rsidP="003219EF" w:rsidRDefault="006F4023">
      <w:pPr>
        <w:spacing w:after="0" w:line="240" w:lineRule="auto"/>
        <w:ind w:firstLine="708"/>
        <w:jc w:val="both"/>
        <w:rPr>
          <w:rFonts w:ascii="Arial" w:hAnsi="Arial" w:cs="Arial"/>
          <w:sz w:val="24"/>
          <w:szCs w:val="24"/>
        </w:rPr>
      </w:pPr>
    </w:p>
    <w:p w:rsidR="0037424C" w:rsidP="003219EF" w:rsidRDefault="000A7072">
      <w:pPr>
        <w:spacing w:after="0" w:line="240" w:lineRule="auto"/>
        <w:jc w:val="both"/>
        <w:rPr>
          <w:rFonts w:ascii="Arial" w:hAnsi="Arial" w:cs="Arial"/>
          <w:sz w:val="24"/>
          <w:szCs w:val="24"/>
        </w:rPr>
      </w:pPr>
      <w:r>
        <w:rPr>
          <w:rFonts w:ascii="Arial" w:hAnsi="Arial" w:cs="Arial"/>
          <w:sz w:val="24"/>
          <w:szCs w:val="24"/>
        </w:rPr>
        <w:tab/>
        <w:t>Ovaj zapisnik objavit će se na e-Oglasnoj ploči suda.</w:t>
      </w:r>
    </w:p>
    <w:p w:rsidR="000A7072" w:rsidP="003219EF" w:rsidRDefault="000A7072">
      <w:pPr>
        <w:spacing w:after="0" w:line="240" w:lineRule="auto"/>
        <w:jc w:val="both"/>
        <w:rPr>
          <w:rFonts w:ascii="Arial" w:hAnsi="Arial" w:cs="Arial"/>
          <w:sz w:val="24"/>
          <w:szCs w:val="24"/>
        </w:rPr>
      </w:pPr>
    </w:p>
    <w:p w:rsidRPr="00E32D94" w:rsidR="000A7072" w:rsidP="003219EF" w:rsidRDefault="000A7072">
      <w:pPr>
        <w:spacing w:after="0" w:line="240" w:lineRule="auto"/>
        <w:jc w:val="both"/>
        <w:rPr>
          <w:rFonts w:ascii="Arial" w:hAnsi="Arial" w:cs="Arial"/>
          <w:sz w:val="24"/>
          <w:szCs w:val="24"/>
        </w:rPr>
      </w:pPr>
    </w:p>
    <w:p w:rsidRPr="00E32D94" w:rsidR="006D2A83" w:rsidP="003219EF" w:rsidRDefault="006D2A83">
      <w:pPr>
        <w:spacing w:after="0" w:line="240" w:lineRule="auto"/>
        <w:jc w:val="center"/>
        <w:rPr>
          <w:rFonts w:ascii="Arial" w:hAnsi="Arial" w:cs="Arial"/>
          <w:sz w:val="24"/>
          <w:szCs w:val="24"/>
        </w:rPr>
      </w:pPr>
      <w:r w:rsidRPr="00E32D94">
        <w:rPr>
          <w:rFonts w:ascii="Arial" w:hAnsi="Arial" w:cs="Arial"/>
          <w:sz w:val="24"/>
          <w:szCs w:val="24"/>
        </w:rPr>
        <w:t xml:space="preserve">Dovršeno u </w:t>
      </w:r>
      <w:r w:rsidR="0046097A">
        <w:rPr>
          <w:rFonts w:ascii="Arial" w:hAnsi="Arial" w:cs="Arial"/>
          <w:sz w:val="24"/>
          <w:szCs w:val="24"/>
        </w:rPr>
        <w:t>10</w:t>
      </w:r>
      <w:r w:rsidRPr="00E32D94">
        <w:rPr>
          <w:rFonts w:ascii="Arial" w:hAnsi="Arial" w:cs="Arial"/>
          <w:sz w:val="24"/>
          <w:szCs w:val="24"/>
        </w:rPr>
        <w:t>:</w:t>
      </w:r>
      <w:r w:rsidR="0046097A">
        <w:rPr>
          <w:rFonts w:ascii="Arial" w:hAnsi="Arial" w:cs="Arial"/>
          <w:sz w:val="24"/>
          <w:szCs w:val="24"/>
        </w:rPr>
        <w:t>20</w:t>
      </w:r>
      <w:r w:rsidRPr="00E32D94">
        <w:rPr>
          <w:rFonts w:ascii="Arial" w:hAnsi="Arial" w:cs="Arial"/>
          <w:sz w:val="24"/>
          <w:szCs w:val="24"/>
        </w:rPr>
        <w:t xml:space="preserve"> sati.</w:t>
      </w:r>
    </w:p>
    <w:p w:rsidRPr="00E32D94" w:rsidR="006D2A83" w:rsidP="003219EF" w:rsidRDefault="006D2A83">
      <w:pPr>
        <w:spacing w:after="0" w:line="240" w:lineRule="auto"/>
        <w:jc w:val="both"/>
        <w:rPr>
          <w:rFonts w:ascii="Arial" w:hAnsi="Arial" w:cs="Arial"/>
          <w:sz w:val="24"/>
          <w:szCs w:val="24"/>
        </w:rPr>
      </w:pPr>
    </w:p>
    <w:p w:rsidRPr="00E32D94" w:rsidR="006D2A83" w:rsidP="006D2A83" w:rsidRDefault="006D2A83">
      <w:pPr>
        <w:spacing w:after="0" w:line="240" w:lineRule="auto"/>
        <w:jc w:val="center"/>
        <w:rPr>
          <w:rFonts w:ascii="Arial" w:hAnsi="Arial" w:cs="Arial"/>
          <w:sz w:val="24"/>
          <w:szCs w:val="24"/>
        </w:rPr>
      </w:pPr>
    </w:p>
    <w:tbl>
      <w:tblPr>
        <w:tblW w:w="0" w:type="auto"/>
        <w:tblLook w:firstRow="1" w:lastRow="0" w:firstColumn="1" w:lastColumn="0" w:noHBand="0" w:noVBand="1" w:val="04A0"/>
      </w:tblPr>
      <w:tblGrid>
        <w:gridCol w:w="2376"/>
        <w:gridCol w:w="2835"/>
        <w:gridCol w:w="4075"/>
      </w:tblGrid>
      <w:tr w:rsidRPr="00E32D94" w:rsidR="006D2A83" w:rsidTr="00B36CD2">
        <w:tc>
          <w:tcPr>
            <w:tcW w:w="2376" w:type="dxa"/>
            <w:shd w:val="clear" w:color="auto" w:fill="auto"/>
          </w:tcPr>
          <w:p w:rsidRPr="00E32D94" w:rsidR="006D2A83" w:rsidP="00AC1AF6" w:rsidRDefault="006D2A83">
            <w:pPr>
              <w:spacing w:after="0" w:line="240" w:lineRule="auto"/>
              <w:jc w:val="both"/>
              <w:rPr>
                <w:rFonts w:ascii="Arial" w:hAnsi="Arial" w:eastAsia="Times New Roman" w:cs="Arial"/>
                <w:sz w:val="24"/>
                <w:szCs w:val="24"/>
                <w:lang w:eastAsia="hr-HR"/>
              </w:rPr>
            </w:pPr>
          </w:p>
        </w:tc>
        <w:tc>
          <w:tcPr>
            <w:tcW w:w="2835" w:type="dxa"/>
            <w:shd w:val="clear" w:color="auto" w:fill="auto"/>
          </w:tcPr>
          <w:p w:rsidRPr="00E32D94" w:rsidR="006D2A83" w:rsidP="00AC1AF6" w:rsidRDefault="006D2A83">
            <w:pPr>
              <w:spacing w:after="0" w:line="240" w:lineRule="auto"/>
              <w:jc w:val="both"/>
              <w:rPr>
                <w:rFonts w:ascii="Arial" w:hAnsi="Arial" w:eastAsia="Times New Roman" w:cs="Arial"/>
                <w:sz w:val="24"/>
                <w:szCs w:val="24"/>
                <w:lang w:eastAsia="hr-HR"/>
              </w:rPr>
            </w:pPr>
            <w:r w:rsidRPr="00E32D94">
              <w:rPr>
                <w:rFonts w:ascii="Arial" w:hAnsi="Arial" w:eastAsia="Times New Roman" w:cs="Arial"/>
                <w:sz w:val="24"/>
                <w:szCs w:val="24"/>
                <w:lang w:eastAsia="hr-HR"/>
              </w:rPr>
              <w:t xml:space="preserve">Sudac: </w:t>
            </w:r>
          </w:p>
          <w:p w:rsidRPr="00E32D94" w:rsidR="006D2A83" w:rsidP="00AC1AF6" w:rsidRDefault="006D2A83">
            <w:pPr>
              <w:spacing w:after="0" w:line="240" w:lineRule="auto"/>
              <w:jc w:val="both"/>
              <w:rPr>
                <w:rFonts w:ascii="Arial" w:hAnsi="Arial" w:eastAsia="Times New Roman" w:cs="Arial"/>
                <w:sz w:val="24"/>
                <w:szCs w:val="24"/>
                <w:lang w:eastAsia="hr-HR"/>
              </w:rPr>
            </w:pPr>
            <w:r w:rsidRPr="00E32D94">
              <w:rPr>
                <w:rFonts w:ascii="Arial" w:hAnsi="Arial" w:eastAsia="Times New Roman" w:cs="Arial"/>
                <w:sz w:val="24"/>
                <w:szCs w:val="24"/>
                <w:lang w:eastAsia="hr-HR"/>
              </w:rPr>
              <w:t xml:space="preserve"> </w:t>
            </w:r>
          </w:p>
          <w:p w:rsidRPr="00E32D94" w:rsidR="006D2A83" w:rsidP="00AC1AF6" w:rsidRDefault="006D2A83">
            <w:pPr>
              <w:spacing w:after="0" w:line="240" w:lineRule="auto"/>
              <w:jc w:val="both"/>
              <w:rPr>
                <w:rFonts w:ascii="Arial" w:hAnsi="Arial" w:eastAsia="Times New Roman" w:cs="Arial"/>
                <w:sz w:val="24"/>
                <w:szCs w:val="24"/>
                <w:lang w:eastAsia="hr-HR"/>
              </w:rPr>
            </w:pPr>
          </w:p>
          <w:p w:rsidRPr="00E32D94" w:rsidR="002C6E90" w:rsidP="00AC1AF6" w:rsidRDefault="002C6E90">
            <w:pPr>
              <w:spacing w:after="0" w:line="240" w:lineRule="auto"/>
              <w:jc w:val="both"/>
              <w:rPr>
                <w:rFonts w:ascii="Arial" w:hAnsi="Arial" w:eastAsia="Times New Roman" w:cs="Arial"/>
                <w:sz w:val="24"/>
                <w:szCs w:val="24"/>
                <w:lang w:eastAsia="hr-HR"/>
              </w:rPr>
            </w:pPr>
          </w:p>
          <w:p w:rsidRPr="00E32D94" w:rsidR="002C6E90" w:rsidP="00AC1AF6" w:rsidRDefault="002C6E90">
            <w:pPr>
              <w:spacing w:after="0" w:line="240" w:lineRule="auto"/>
              <w:jc w:val="both"/>
              <w:rPr>
                <w:rFonts w:ascii="Arial" w:hAnsi="Arial" w:eastAsia="Times New Roman" w:cs="Arial"/>
                <w:sz w:val="24"/>
                <w:szCs w:val="24"/>
                <w:lang w:eastAsia="hr-HR"/>
              </w:rPr>
            </w:pPr>
          </w:p>
          <w:p w:rsidRPr="00E32D94" w:rsidR="00623525" w:rsidP="00AC1AF6" w:rsidRDefault="00623525">
            <w:pPr>
              <w:spacing w:after="0" w:line="240" w:lineRule="auto"/>
              <w:jc w:val="both"/>
              <w:rPr>
                <w:rFonts w:ascii="Arial" w:hAnsi="Arial" w:eastAsia="Times New Roman" w:cs="Arial"/>
                <w:sz w:val="24"/>
                <w:szCs w:val="24"/>
                <w:lang w:eastAsia="hr-HR"/>
              </w:rPr>
            </w:pPr>
          </w:p>
          <w:p w:rsidRPr="00E32D94" w:rsidR="00623525" w:rsidP="00AC1AF6" w:rsidRDefault="00623525">
            <w:pPr>
              <w:spacing w:after="0" w:line="240" w:lineRule="auto"/>
              <w:jc w:val="both"/>
              <w:rPr>
                <w:rFonts w:ascii="Arial" w:hAnsi="Arial" w:eastAsia="Times New Roman" w:cs="Arial"/>
                <w:sz w:val="24"/>
                <w:szCs w:val="24"/>
                <w:lang w:eastAsia="hr-HR"/>
              </w:rPr>
            </w:pPr>
          </w:p>
          <w:p w:rsidRPr="00E32D94" w:rsidR="002C6E90" w:rsidP="00AC1AF6" w:rsidRDefault="002C6E90">
            <w:pPr>
              <w:spacing w:after="0" w:line="240" w:lineRule="auto"/>
              <w:jc w:val="both"/>
              <w:rPr>
                <w:rFonts w:ascii="Arial" w:hAnsi="Arial" w:eastAsia="Times New Roman" w:cs="Arial"/>
                <w:sz w:val="24"/>
                <w:szCs w:val="24"/>
                <w:lang w:eastAsia="hr-HR"/>
              </w:rPr>
            </w:pPr>
          </w:p>
          <w:p w:rsidRPr="00E32D94" w:rsidR="006D2A83" w:rsidP="00AC1AF6" w:rsidRDefault="006D2A83">
            <w:pPr>
              <w:spacing w:after="0" w:line="240" w:lineRule="auto"/>
              <w:jc w:val="both"/>
              <w:rPr>
                <w:rFonts w:ascii="Arial" w:hAnsi="Arial" w:eastAsia="Times New Roman" w:cs="Arial"/>
                <w:sz w:val="24"/>
                <w:szCs w:val="24"/>
                <w:lang w:eastAsia="hr-HR"/>
              </w:rPr>
            </w:pPr>
            <w:r w:rsidRPr="00E32D94">
              <w:rPr>
                <w:rFonts w:ascii="Arial" w:hAnsi="Arial" w:eastAsia="Times New Roman" w:cs="Arial"/>
                <w:sz w:val="24"/>
                <w:szCs w:val="24"/>
                <w:lang w:eastAsia="hr-HR"/>
              </w:rPr>
              <w:t>Zapisničar:</w:t>
            </w:r>
          </w:p>
        </w:tc>
        <w:tc>
          <w:tcPr>
            <w:tcW w:w="4075" w:type="dxa"/>
            <w:shd w:val="clear" w:color="auto" w:fill="auto"/>
          </w:tcPr>
          <w:p w:rsidRPr="00E32D94" w:rsidR="006D2A83" w:rsidP="00AC1AF6" w:rsidRDefault="006D2A83">
            <w:pPr>
              <w:spacing w:after="0" w:line="240" w:lineRule="auto"/>
              <w:rPr>
                <w:rFonts w:ascii="Arial" w:hAnsi="Arial" w:eastAsia="Times New Roman" w:cs="Arial"/>
                <w:sz w:val="24"/>
                <w:szCs w:val="24"/>
                <w:lang w:eastAsia="hr-HR"/>
              </w:rPr>
            </w:pPr>
            <w:r w:rsidRPr="00E32D94">
              <w:rPr>
                <w:rFonts w:ascii="Arial" w:hAnsi="Arial" w:eastAsia="Times New Roman" w:cs="Arial"/>
                <w:sz w:val="24"/>
                <w:szCs w:val="24"/>
                <w:lang w:eastAsia="hr-HR"/>
              </w:rPr>
              <w:t>Sudionici:</w:t>
            </w:r>
          </w:p>
          <w:p w:rsidRPr="00E32D94" w:rsidR="006D2A83" w:rsidP="00AC1AF6" w:rsidRDefault="006D2A83">
            <w:pPr>
              <w:spacing w:after="0" w:line="240" w:lineRule="auto"/>
              <w:rPr>
                <w:rFonts w:ascii="Arial" w:hAnsi="Arial" w:eastAsia="Times New Roman" w:cs="Arial"/>
                <w:sz w:val="24"/>
                <w:szCs w:val="24"/>
                <w:lang w:eastAsia="hr-HR"/>
              </w:rPr>
            </w:pPr>
          </w:p>
          <w:p w:rsidRPr="00E32D94" w:rsidR="006D2A83" w:rsidP="00AC1AF6" w:rsidRDefault="006D2A83">
            <w:pPr>
              <w:spacing w:after="0" w:line="240" w:lineRule="auto"/>
              <w:rPr>
                <w:rFonts w:ascii="Arial" w:hAnsi="Arial" w:eastAsia="Times New Roman" w:cs="Arial"/>
                <w:sz w:val="24"/>
                <w:szCs w:val="24"/>
                <w:lang w:eastAsia="hr-HR"/>
              </w:rPr>
            </w:pPr>
          </w:p>
          <w:p w:rsidRPr="00E32D94" w:rsidR="006D2A83" w:rsidP="00AC1AF6" w:rsidRDefault="006D2A83">
            <w:pPr>
              <w:spacing w:after="0" w:line="240" w:lineRule="auto"/>
              <w:rPr>
                <w:rFonts w:ascii="Arial" w:hAnsi="Arial" w:eastAsia="Times New Roman" w:cs="Arial"/>
                <w:sz w:val="24"/>
                <w:szCs w:val="24"/>
                <w:lang w:eastAsia="hr-HR"/>
              </w:rPr>
            </w:pPr>
          </w:p>
          <w:p w:rsidRPr="00E32D94" w:rsidR="006D2A83" w:rsidP="00AC1AF6" w:rsidRDefault="006D2A83">
            <w:pPr>
              <w:spacing w:after="0" w:line="240" w:lineRule="auto"/>
              <w:rPr>
                <w:rFonts w:ascii="Arial" w:hAnsi="Arial" w:eastAsia="Times New Roman" w:cs="Arial"/>
                <w:sz w:val="24"/>
                <w:szCs w:val="24"/>
                <w:lang w:eastAsia="hr-HR"/>
              </w:rPr>
            </w:pPr>
          </w:p>
          <w:p w:rsidRPr="00E32D94" w:rsidR="006D2A83" w:rsidP="00AC1AF6" w:rsidRDefault="006D2A83">
            <w:pPr>
              <w:spacing w:after="0" w:line="240" w:lineRule="auto"/>
              <w:rPr>
                <w:rFonts w:ascii="Arial" w:hAnsi="Arial" w:eastAsia="Times New Roman" w:cs="Arial"/>
                <w:sz w:val="24"/>
                <w:szCs w:val="24"/>
                <w:lang w:eastAsia="hr-HR"/>
              </w:rPr>
            </w:pPr>
          </w:p>
        </w:tc>
      </w:tr>
    </w:tbl>
    <w:p w:rsidRPr="00E32D94" w:rsidR="006D2A83" w:rsidP="006D2A83" w:rsidRDefault="006D2A83">
      <w:pPr>
        <w:spacing w:after="0" w:line="240" w:lineRule="auto"/>
        <w:jc w:val="center"/>
        <w:rPr>
          <w:rFonts w:ascii="Arial" w:hAnsi="Arial" w:cs="Arial"/>
          <w:sz w:val="24"/>
          <w:szCs w:val="24"/>
        </w:rPr>
      </w:pPr>
    </w:p>
    <w:p w:rsidRPr="00E32D94" w:rsidR="006D2A83" w:rsidP="006D2A83" w:rsidRDefault="006D2A83">
      <w:pPr>
        <w:spacing w:after="0" w:line="240" w:lineRule="auto"/>
        <w:jc w:val="center"/>
        <w:rPr>
          <w:rFonts w:ascii="Arial" w:hAnsi="Arial" w:cs="Arial"/>
          <w:sz w:val="24"/>
          <w:szCs w:val="24"/>
        </w:rPr>
      </w:pPr>
    </w:p>
    <w:p w:rsidRPr="00E32D94" w:rsidR="006D2A83" w:rsidP="006D2A83" w:rsidRDefault="006D2A83">
      <w:pPr>
        <w:spacing w:after="0" w:line="240" w:lineRule="auto"/>
        <w:jc w:val="center"/>
        <w:rPr>
          <w:rFonts w:ascii="Arial" w:hAnsi="Arial" w:cs="Arial"/>
          <w:sz w:val="24"/>
          <w:szCs w:val="24"/>
        </w:rPr>
      </w:pPr>
    </w:p>
    <w:p w:rsidRPr="00E32D94" w:rsidR="006D2A83" w:rsidP="006D2A83" w:rsidRDefault="006D2A83">
      <w:pPr>
        <w:spacing w:after="0" w:line="240" w:lineRule="auto"/>
        <w:ind w:left="2832" w:firstLine="708"/>
        <w:rPr>
          <w:rFonts w:ascii="Arial" w:hAnsi="Arial" w:cs="Arial"/>
          <w:sz w:val="24"/>
          <w:szCs w:val="24"/>
        </w:rPr>
      </w:pPr>
      <w:r w:rsidRPr="00E32D94">
        <w:rPr>
          <w:rFonts w:ascii="Arial" w:hAnsi="Arial" w:cs="Arial"/>
          <w:sz w:val="24"/>
          <w:szCs w:val="24"/>
        </w:rPr>
        <w:tab/>
      </w:r>
      <w:r w:rsidRPr="00E32D94">
        <w:rPr>
          <w:rFonts w:ascii="Arial" w:hAnsi="Arial" w:cs="Arial"/>
          <w:sz w:val="24"/>
          <w:szCs w:val="24"/>
        </w:rPr>
        <w:tab/>
        <w:t xml:space="preserve">        </w:t>
      </w:r>
    </w:p>
    <w:sectPr w:rsidRPr="00E32D94" w:rsidR="006D2A83"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E2A9E" w:rsidP="00501147" w:rsidRDefault="001E2A9E">
      <w:pPr>
        <w:spacing w:after="0" w:line="240" w:lineRule="auto"/>
      </w:pPr>
      <w:r>
        <w:separator/>
      </w:r>
    </w:p>
  </w:endnote>
  <w:endnote w:type="continuationSeparator" w:id="0">
    <w:p w:rsidR="001E2A9E" w:rsidP="00501147" w:rsidRDefault="001E2A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E2A9E" w:rsidP="00501147" w:rsidRDefault="001E2A9E">
      <w:pPr>
        <w:spacing w:after="0" w:line="240" w:lineRule="auto"/>
      </w:pPr>
      <w:r>
        <w:separator/>
      </w:r>
    </w:p>
  </w:footnote>
  <w:footnote w:type="continuationSeparator" w:id="0">
    <w:p w:rsidR="001E2A9E" w:rsidP="00501147" w:rsidRDefault="001E2A9E">
      <w:pPr>
        <w:spacing w:after="0" w:line="240" w:lineRule="auto"/>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32D94" w:rsidR="00340399" w:rsidP="00340399" w:rsidRDefault="00340399">
    <w:pPr>
      <w:pStyle w:val="Zaglavlje"/>
      <w:spacing w:after="0" w:line="240" w:lineRule="auto"/>
      <w:jc w:val="right"/>
      <w:rPr>
        <w:rFonts w:ascii="Arial" w:hAnsi="Arial" w:cs="Arial"/>
        <w:sz w:val="24"/>
        <w:szCs w:val="24"/>
      </w:rPr>
    </w:pPr>
    <w:r w:rsidRPr="00E32D94">
      <w:rPr>
        <w:rFonts w:ascii="Arial" w:hAnsi="Arial" w:cs="Arial"/>
        <w:sz w:val="24"/>
        <w:szCs w:val="24"/>
      </w:rPr>
      <w:fldChar w:fldCharType="begin"/>
    </w:r>
    <w:r w:rsidRPr="00E32D94">
      <w:rPr>
        <w:rFonts w:ascii="Arial" w:hAnsi="Arial" w:cs="Arial"/>
        <w:sz w:val="24"/>
        <w:szCs w:val="24"/>
      </w:rPr>
      <w:instrText xml:space="preserve"> STYLEREF  VS_Verzija  \* MERGEFORMAT </w:instrText>
    </w:r>
    <w:r w:rsidRPr="00E32D94">
      <w:rPr>
        <w:rFonts w:ascii="Arial" w:hAnsi="Arial" w:cs="Arial"/>
        <w:sz w:val="24"/>
        <w:szCs w:val="24"/>
      </w:rPr>
      <w:fldChar w:fldCharType="separate"/>
    </w:r>
    <w:r w:rsidR="00601291">
      <w:rPr>
        <w:rFonts w:ascii="Arial" w:hAnsi="Arial" w:cs="Arial"/>
        <w:noProof/>
        <w:sz w:val="24"/>
        <w:szCs w:val="24"/>
      </w:rPr>
      <w:t>Poslovni broj: St-6/2024-71</w:t>
    </w:r>
    <w:r w:rsidRPr="00E32D94">
      <w:rPr>
        <w:rFonts w:ascii="Arial" w:hAnsi="Arial" w:cs="Arial"/>
        <w:sz w:val="24"/>
        <w:szCs w:val="24"/>
      </w:rPr>
      <w:fldChar w:fldCharType="end"/>
    </w:r>
  </w:p>
  <w:p w:rsidRPr="00E32D94" w:rsidR="00A31587" w:rsidP="00A31587" w:rsidRDefault="00A31587">
    <w:pPr>
      <w:pStyle w:val="Zaglavlje"/>
      <w:spacing w:after="0" w:line="240" w:lineRule="auto"/>
      <w:jc w:val="center"/>
      <w:rPr>
        <w:rFonts w:ascii="Arial" w:hAnsi="Arial" w:cs="Arial"/>
        <w:sz w:val="24"/>
        <w:szCs w:val="24"/>
      </w:rPr>
    </w:pPr>
    <w:r w:rsidRPr="00E32D94">
      <w:rPr>
        <w:rFonts w:ascii="Arial" w:hAnsi="Arial" w:cs="Arial"/>
        <w:sz w:val="24"/>
        <w:szCs w:val="24"/>
      </w:rPr>
      <w:fldChar w:fldCharType="begin"/>
    </w:r>
    <w:r w:rsidRPr="00E32D94">
      <w:rPr>
        <w:rFonts w:ascii="Arial" w:hAnsi="Arial" w:cs="Arial"/>
        <w:sz w:val="24"/>
        <w:szCs w:val="24"/>
      </w:rPr>
      <w:instrText>PAGE   \* MERGEFORMAT</w:instrText>
    </w:r>
    <w:r w:rsidRPr="00E32D94">
      <w:rPr>
        <w:rFonts w:ascii="Arial" w:hAnsi="Arial" w:cs="Arial"/>
        <w:sz w:val="24"/>
        <w:szCs w:val="24"/>
      </w:rPr>
      <w:fldChar w:fldCharType="separate"/>
    </w:r>
    <w:r w:rsidR="00601291">
      <w:rPr>
        <w:rFonts w:ascii="Arial" w:hAnsi="Arial" w:cs="Arial"/>
        <w:noProof/>
        <w:sz w:val="24"/>
        <w:szCs w:val="24"/>
      </w:rPr>
      <w:t>4</w:t>
    </w:r>
    <w:r w:rsidRPr="00E32D94">
      <w:rPr>
        <w:rFonts w:ascii="Arial" w:hAnsi="Arial" w:cs="Arial"/>
        <w:sz w:val="24"/>
        <w:szCs w:val="24"/>
      </w:rPr>
      <w:fldChar w:fldCharType="end"/>
    </w:r>
  </w:p>
  <w:p w:rsidRPr="00E32D94" w:rsidR="00A31587" w:rsidP="00A31587" w:rsidRDefault="00A31587">
    <w:pPr>
      <w:pStyle w:val="Zaglavlje"/>
      <w:tabs>
        <w:tab w:val="clear" w:pos="4536"/>
        <w:tab w:val="clear" w:pos="9072"/>
        <w:tab w:val="left" w:pos="3065"/>
      </w:tabs>
      <w:spacing w:after="0" w:line="240" w:lineRule="auto"/>
      <w:rPr>
        <w:rFonts w:ascii="Arial" w:hAnsi="Arial" w:cs="Arial"/>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3F6506"/>
    <w:multiLevelType w:val="hybridMultilevel"/>
    <w:tmpl w:val="DA489D92"/>
    <w:lvl w:ilvl="0" w:tplc="AAE6DD64">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
    <w:nsid w:val="2DD45CA3"/>
    <w:multiLevelType w:val="hybridMultilevel"/>
    <w:tmpl w:val="3536C5AC"/>
    <w:lvl w:ilvl="0" w:tplc="0C7C4AF6">
      <w:start w:val="1"/>
      <w:numFmt w:val="decimal"/>
      <w:lvlText w:val="%1."/>
      <w:lvlJc w:val="left"/>
      <w:pPr>
        <w:tabs>
          <w:tab w:val="num" w:pos="1080"/>
        </w:tabs>
        <w:ind w:left="1080" w:hanging="360"/>
      </w:pPr>
    </w:lvl>
    <w:lvl w:ilvl="1" w:tplc="041A0019">
      <w:start w:val="1"/>
      <w:numFmt w:val="lowerLetter"/>
      <w:lvlText w:val="%2."/>
      <w:lvlJc w:val="left"/>
      <w:pPr>
        <w:tabs>
          <w:tab w:val="num" w:pos="1800"/>
        </w:tabs>
        <w:ind w:left="1800" w:hanging="360"/>
      </w:pPr>
    </w:lvl>
    <w:lvl w:ilvl="2" w:tplc="041A001B">
      <w:start w:val="1"/>
      <w:numFmt w:val="lowerRoman"/>
      <w:lvlText w:val="%3."/>
      <w:lvlJc w:val="right"/>
      <w:pPr>
        <w:tabs>
          <w:tab w:val="num" w:pos="2520"/>
        </w:tabs>
        <w:ind w:left="2520" w:hanging="180"/>
      </w:pPr>
    </w:lvl>
    <w:lvl w:ilvl="3" w:tplc="041A000F">
      <w:start w:val="1"/>
      <w:numFmt w:val="decimal"/>
      <w:lvlText w:val="%4."/>
      <w:lvlJc w:val="left"/>
      <w:pPr>
        <w:tabs>
          <w:tab w:val="num" w:pos="3240"/>
        </w:tabs>
        <w:ind w:left="3240" w:hanging="360"/>
      </w:pPr>
    </w:lvl>
    <w:lvl w:ilvl="4" w:tplc="041A0019">
      <w:start w:val="1"/>
      <w:numFmt w:val="lowerLetter"/>
      <w:lvlText w:val="%5."/>
      <w:lvlJc w:val="left"/>
      <w:pPr>
        <w:tabs>
          <w:tab w:val="num" w:pos="3960"/>
        </w:tabs>
        <w:ind w:left="3960" w:hanging="360"/>
      </w:pPr>
    </w:lvl>
    <w:lvl w:ilvl="5" w:tplc="041A001B">
      <w:start w:val="1"/>
      <w:numFmt w:val="lowerRoman"/>
      <w:lvlText w:val="%6."/>
      <w:lvlJc w:val="right"/>
      <w:pPr>
        <w:tabs>
          <w:tab w:val="num" w:pos="4680"/>
        </w:tabs>
        <w:ind w:left="4680" w:hanging="180"/>
      </w:pPr>
    </w:lvl>
    <w:lvl w:ilvl="6" w:tplc="041A000F">
      <w:start w:val="1"/>
      <w:numFmt w:val="decimal"/>
      <w:lvlText w:val="%7."/>
      <w:lvlJc w:val="left"/>
      <w:pPr>
        <w:tabs>
          <w:tab w:val="num" w:pos="5400"/>
        </w:tabs>
        <w:ind w:left="5400" w:hanging="360"/>
      </w:pPr>
    </w:lvl>
    <w:lvl w:ilvl="7" w:tplc="041A0019">
      <w:start w:val="1"/>
      <w:numFmt w:val="lowerLetter"/>
      <w:lvlText w:val="%8."/>
      <w:lvlJc w:val="left"/>
      <w:pPr>
        <w:tabs>
          <w:tab w:val="num" w:pos="6120"/>
        </w:tabs>
        <w:ind w:left="6120" w:hanging="360"/>
      </w:pPr>
    </w:lvl>
    <w:lvl w:ilvl="8" w:tplc="041A001B">
      <w:start w:val="1"/>
      <w:numFmt w:val="lowerRoman"/>
      <w:lvlText w:val="%9."/>
      <w:lvlJc w:val="right"/>
      <w:pPr>
        <w:tabs>
          <w:tab w:val="num" w:pos="6840"/>
        </w:tabs>
        <w:ind w:left="6840" w:hanging="180"/>
      </w:pPr>
    </w:lvl>
  </w:abstractNum>
  <w:abstractNum w:abstractNumId="3">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5F49400C"/>
    <w:multiLevelType w:val="hybridMultilevel"/>
    <w:tmpl w:val="A258987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642A59BB"/>
    <w:multiLevelType w:val="hybridMultilevel"/>
    <w:tmpl w:val="707A903A"/>
    <w:lvl w:ilvl="0" w:tplc="AB741AD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AB82573"/>
    <w:multiLevelType w:val="hybridMultilevel"/>
    <w:tmpl w:val="5E6A5B48"/>
    <w:lvl w:ilvl="0" w:tplc="D03C3352">
      <w:start w:val="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3"/>
  </w:num>
  <w:num w:numId="2">
    <w:abstractNumId w:val="1"/>
  </w:num>
  <w:num w:numId="3">
    <w:abstractNumId w:val="6"/>
  </w:num>
  <w:num w:numId="4">
    <w:abstractNumId w:val="2"/>
  </w:num>
  <w:num w:numId="5">
    <w:abstractNumId w:val="4"/>
  </w:num>
  <w:num w:numId="6">
    <w:abstractNumId w:val="5"/>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4B27"/>
    <w:rsid w:val="000059BD"/>
    <w:rsid w:val="00015867"/>
    <w:rsid w:val="0004207D"/>
    <w:rsid w:val="00065370"/>
    <w:rsid w:val="000658BC"/>
    <w:rsid w:val="00082860"/>
    <w:rsid w:val="0008663B"/>
    <w:rsid w:val="00086802"/>
    <w:rsid w:val="00087C43"/>
    <w:rsid w:val="000A7072"/>
    <w:rsid w:val="000B2929"/>
    <w:rsid w:val="000B4F42"/>
    <w:rsid w:val="000B6F54"/>
    <w:rsid w:val="000C07B1"/>
    <w:rsid w:val="000E2FCD"/>
    <w:rsid w:val="000F2496"/>
    <w:rsid w:val="001163F2"/>
    <w:rsid w:val="00125FD9"/>
    <w:rsid w:val="00126B4E"/>
    <w:rsid w:val="0013044A"/>
    <w:rsid w:val="00147698"/>
    <w:rsid w:val="00153C86"/>
    <w:rsid w:val="00164105"/>
    <w:rsid w:val="00194888"/>
    <w:rsid w:val="001B70EC"/>
    <w:rsid w:val="001D5D3B"/>
    <w:rsid w:val="001E2A9E"/>
    <w:rsid w:val="001E3908"/>
    <w:rsid w:val="001F6DF0"/>
    <w:rsid w:val="002144FF"/>
    <w:rsid w:val="002361B6"/>
    <w:rsid w:val="00237FCE"/>
    <w:rsid w:val="002971D6"/>
    <w:rsid w:val="002A735D"/>
    <w:rsid w:val="002C5E82"/>
    <w:rsid w:val="002C6E90"/>
    <w:rsid w:val="002D082C"/>
    <w:rsid w:val="002D2FC4"/>
    <w:rsid w:val="002E3DDB"/>
    <w:rsid w:val="002E6979"/>
    <w:rsid w:val="002F61DE"/>
    <w:rsid w:val="00314E52"/>
    <w:rsid w:val="003219EF"/>
    <w:rsid w:val="00340399"/>
    <w:rsid w:val="00341823"/>
    <w:rsid w:val="00342CFC"/>
    <w:rsid w:val="00343E8B"/>
    <w:rsid w:val="00345212"/>
    <w:rsid w:val="00367E59"/>
    <w:rsid w:val="0037424C"/>
    <w:rsid w:val="00385BF0"/>
    <w:rsid w:val="00394A8C"/>
    <w:rsid w:val="003A0CE3"/>
    <w:rsid w:val="003A4477"/>
    <w:rsid w:val="003A6644"/>
    <w:rsid w:val="003D39E7"/>
    <w:rsid w:val="00403692"/>
    <w:rsid w:val="0040577C"/>
    <w:rsid w:val="00436D58"/>
    <w:rsid w:val="00441B9E"/>
    <w:rsid w:val="00450291"/>
    <w:rsid w:val="0046097A"/>
    <w:rsid w:val="00466AFC"/>
    <w:rsid w:val="00474FC2"/>
    <w:rsid w:val="004835E7"/>
    <w:rsid w:val="00484C38"/>
    <w:rsid w:val="00494A82"/>
    <w:rsid w:val="0049593F"/>
    <w:rsid w:val="0049749B"/>
    <w:rsid w:val="00497D31"/>
    <w:rsid w:val="004A0BD1"/>
    <w:rsid w:val="004E00FA"/>
    <w:rsid w:val="004E1C60"/>
    <w:rsid w:val="00501147"/>
    <w:rsid w:val="005129B8"/>
    <w:rsid w:val="00521DEA"/>
    <w:rsid w:val="005342C4"/>
    <w:rsid w:val="0055446B"/>
    <w:rsid w:val="00572593"/>
    <w:rsid w:val="00597D2F"/>
    <w:rsid w:val="005B36E9"/>
    <w:rsid w:val="005C01B0"/>
    <w:rsid w:val="005E1D89"/>
    <w:rsid w:val="005F3F8F"/>
    <w:rsid w:val="005F5DCE"/>
    <w:rsid w:val="005F633B"/>
    <w:rsid w:val="00601291"/>
    <w:rsid w:val="00612039"/>
    <w:rsid w:val="00623525"/>
    <w:rsid w:val="00640FB4"/>
    <w:rsid w:val="00644C74"/>
    <w:rsid w:val="00651E9C"/>
    <w:rsid w:val="00685195"/>
    <w:rsid w:val="0069332A"/>
    <w:rsid w:val="00693926"/>
    <w:rsid w:val="006D2A83"/>
    <w:rsid w:val="006D5479"/>
    <w:rsid w:val="006F4023"/>
    <w:rsid w:val="00701D1D"/>
    <w:rsid w:val="00702B49"/>
    <w:rsid w:val="00721A26"/>
    <w:rsid w:val="007231CA"/>
    <w:rsid w:val="00732BCA"/>
    <w:rsid w:val="00741600"/>
    <w:rsid w:val="007439FF"/>
    <w:rsid w:val="00757A30"/>
    <w:rsid w:val="0077399E"/>
    <w:rsid w:val="007802E2"/>
    <w:rsid w:val="0078776D"/>
    <w:rsid w:val="00797FF7"/>
    <w:rsid w:val="007A409A"/>
    <w:rsid w:val="007D0553"/>
    <w:rsid w:val="00801313"/>
    <w:rsid w:val="00830DB3"/>
    <w:rsid w:val="00856F5A"/>
    <w:rsid w:val="00860825"/>
    <w:rsid w:val="008659E3"/>
    <w:rsid w:val="00877B67"/>
    <w:rsid w:val="008A6557"/>
    <w:rsid w:val="008A6EA8"/>
    <w:rsid w:val="008B09F5"/>
    <w:rsid w:val="008C4EFB"/>
    <w:rsid w:val="008D05FD"/>
    <w:rsid w:val="008D4DB8"/>
    <w:rsid w:val="008D53B1"/>
    <w:rsid w:val="008D5EA3"/>
    <w:rsid w:val="008E5CDA"/>
    <w:rsid w:val="008F5840"/>
    <w:rsid w:val="0090185B"/>
    <w:rsid w:val="00913273"/>
    <w:rsid w:val="00917C3F"/>
    <w:rsid w:val="00917D6A"/>
    <w:rsid w:val="0092437B"/>
    <w:rsid w:val="00926157"/>
    <w:rsid w:val="0094374E"/>
    <w:rsid w:val="00953F20"/>
    <w:rsid w:val="00957093"/>
    <w:rsid w:val="009610AF"/>
    <w:rsid w:val="0096157B"/>
    <w:rsid w:val="0096563D"/>
    <w:rsid w:val="009752CD"/>
    <w:rsid w:val="00975368"/>
    <w:rsid w:val="00987D82"/>
    <w:rsid w:val="0099333D"/>
    <w:rsid w:val="00996635"/>
    <w:rsid w:val="009E1B48"/>
    <w:rsid w:val="009E2BBE"/>
    <w:rsid w:val="00A02D48"/>
    <w:rsid w:val="00A31425"/>
    <w:rsid w:val="00A31587"/>
    <w:rsid w:val="00A3382D"/>
    <w:rsid w:val="00A45438"/>
    <w:rsid w:val="00A46425"/>
    <w:rsid w:val="00A473C5"/>
    <w:rsid w:val="00A52BE7"/>
    <w:rsid w:val="00A52DF2"/>
    <w:rsid w:val="00A65E60"/>
    <w:rsid w:val="00A729A1"/>
    <w:rsid w:val="00A77E1E"/>
    <w:rsid w:val="00AA1295"/>
    <w:rsid w:val="00AA3F98"/>
    <w:rsid w:val="00AD733B"/>
    <w:rsid w:val="00AF28D9"/>
    <w:rsid w:val="00AF41D2"/>
    <w:rsid w:val="00B00B9A"/>
    <w:rsid w:val="00B20A65"/>
    <w:rsid w:val="00B36CD2"/>
    <w:rsid w:val="00B37EC4"/>
    <w:rsid w:val="00B43087"/>
    <w:rsid w:val="00B43741"/>
    <w:rsid w:val="00B44531"/>
    <w:rsid w:val="00B60EDF"/>
    <w:rsid w:val="00B74553"/>
    <w:rsid w:val="00B872DE"/>
    <w:rsid w:val="00B92B86"/>
    <w:rsid w:val="00BA21D1"/>
    <w:rsid w:val="00BA36FB"/>
    <w:rsid w:val="00BB00A8"/>
    <w:rsid w:val="00BC5568"/>
    <w:rsid w:val="00BD7A74"/>
    <w:rsid w:val="00BF0FD8"/>
    <w:rsid w:val="00C1030E"/>
    <w:rsid w:val="00C37B46"/>
    <w:rsid w:val="00C449A3"/>
    <w:rsid w:val="00C470B6"/>
    <w:rsid w:val="00C50709"/>
    <w:rsid w:val="00C61A09"/>
    <w:rsid w:val="00CB0DAC"/>
    <w:rsid w:val="00CD1165"/>
    <w:rsid w:val="00CE3864"/>
    <w:rsid w:val="00CE5C2C"/>
    <w:rsid w:val="00D151FE"/>
    <w:rsid w:val="00D228AD"/>
    <w:rsid w:val="00D25738"/>
    <w:rsid w:val="00D400B5"/>
    <w:rsid w:val="00D43FE4"/>
    <w:rsid w:val="00D50D29"/>
    <w:rsid w:val="00D728D4"/>
    <w:rsid w:val="00D85F29"/>
    <w:rsid w:val="00D93628"/>
    <w:rsid w:val="00DB5D1B"/>
    <w:rsid w:val="00DC66A8"/>
    <w:rsid w:val="00DC70E5"/>
    <w:rsid w:val="00DD3653"/>
    <w:rsid w:val="00DD7F25"/>
    <w:rsid w:val="00DE53DC"/>
    <w:rsid w:val="00DE5ABC"/>
    <w:rsid w:val="00E2482F"/>
    <w:rsid w:val="00E27A31"/>
    <w:rsid w:val="00E32D94"/>
    <w:rsid w:val="00E349A5"/>
    <w:rsid w:val="00E43FBA"/>
    <w:rsid w:val="00E7673F"/>
    <w:rsid w:val="00EB0D3A"/>
    <w:rsid w:val="00EB36BA"/>
    <w:rsid w:val="00EC15A5"/>
    <w:rsid w:val="00ED5412"/>
    <w:rsid w:val="00EF54F1"/>
    <w:rsid w:val="00F02886"/>
    <w:rsid w:val="00F030EE"/>
    <w:rsid w:val="00F10AE8"/>
    <w:rsid w:val="00F12359"/>
    <w:rsid w:val="00F24973"/>
    <w:rsid w:val="00F41E4F"/>
    <w:rsid w:val="00F45DC7"/>
    <w:rsid w:val="00F46F57"/>
    <w:rsid w:val="00F47C70"/>
    <w:rsid w:val="00F65D4C"/>
    <w:rsid w:val="00F85E94"/>
    <w:rsid w:val="00F8733B"/>
    <w:rsid w:val="00F93CF2"/>
    <w:rsid w:val="00FC014B"/>
    <w:rsid w:val="00FD62BA"/>
    <w:rsid w:val="00FE0FF5"/>
    <w:rsid w:val="00FE4624"/>
    <w:rsid w:val="00FF2C7B"/>
    <w:rsid w:val="00FF59CA"/>
    <w:rsid w:val="00FF7ED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9AA1C5BD-FDD8-47B3-B869-A06C7BFF3966}"/>
</w:settings>
</file>

<file path=word/styles.xml><?xml version="1.0" encoding="utf-8"?>
<w:style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paragraph" w:styleId="Odlomakpopisa">
    <w:name w:val="List Paragraph"/>
    <w:basedOn w:val="Normal"/>
    <w:uiPriority w:val="34"/>
    <w:qFormat/>
    <w:rsid w:val="00D85F29"/>
    <w:pPr>
      <w:ind w:left="720"/>
      <w:contextualSpacing/>
    </w:pPr>
  </w:style>
  <w:style w:type="paragraph" w:styleId="Default" w:customStyle="true">
    <w:name w:val="Default"/>
    <w:rsid w:val="00314E52"/>
    <w:pPr>
      <w:autoSpaceDE w:val="false"/>
      <w:autoSpaceDN w:val="false"/>
      <w:adjustRightInd w:val="false"/>
    </w:pPr>
    <w:rPr>
      <w:rFonts w:ascii="Times New Roman" w:hAnsi="Times New Roman"/>
      <w:color w:val="000000"/>
      <w:sz w:val="24"/>
      <w:szCs w:val="24"/>
    </w:rPr>
  </w:style>
  <w:style w:type="character" w:styleId="Tekstrezerviranogmjesta">
    <w:name w:val="Placeholder Text"/>
    <w:basedOn w:val="Zadanifontodlomka"/>
    <w:uiPriority w:val="99"/>
    <w:semiHidden/>
    <w:rsid w:val="00601291"/>
    <w:rPr>
      <w:color w:val="808080"/>
      <w:bdr w:val="none" w:color="auto" w:sz="0" w:space="0"/>
      <w:shd w:val="clear" w:color="auto" w:fill="auto"/>
    </w:rPr>
  </w:style>
  <w:style w:type="character" w:styleId="eSPISCCParagraphDefaultFont" w:customStyle="true">
    <w:name w:val="eSPIS_CC_Paragraph Default Font"/>
    <w:basedOn w:val="Zadanifontodlomka"/>
    <w:rsid w:val="00601291"/>
    <w:rPr>
      <w:rFonts w:ascii="Times New Roman" w:hAnsi="Times New Roman" w:cs="Times New Roman"/>
      <w:color w:val="FF0000"/>
      <w:sz w:val="24"/>
      <w:szCs w:val="24"/>
      <w:bdr w:val="none" w:color="auto" w:sz="0" w:space="0"/>
      <w:shd w:val="clear" w:color="auto" w:fill="auto"/>
      <w:lang w:val="hr-HR"/>
    </w:rPr>
  </w:style>
  <w:style w:type="character" w:styleId="PozadinaSvijetloZuta" w:customStyle="true">
    <w:name w:val="Pozadina_SvijetloZuta"/>
    <w:basedOn w:val="Zadanifontodlomka"/>
    <w:rsid w:val="00601291"/>
    <w:rPr>
      <w:rFonts w:ascii="Arial" w:hAnsi="Arial" w:cs="Arial"/>
      <w:color w:val="FF0000"/>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601291"/>
    <w:rPr>
      <w:rFonts w:ascii="Arial" w:hAnsi="Arial" w:cs="Arial"/>
      <w:color w:val="FF0000"/>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601291"/>
    <w:rPr>
      <w:rFonts w:ascii="Arial" w:hAnsi="Arial" w:cs="Arial"/>
      <w:color w:val="FF0000"/>
      <w:sz w:val="24"/>
      <w:szCs w:val="24"/>
      <w:bdr w:val="none" w:color="auto" w:sz="0" w:space="0"/>
      <w:shd w:val="clear" w:color="auto" w:fill="CCFFCC"/>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 w:id="21184051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29. listopada 2024.</izvorni_sadrzaj>
    <derivirana_varijabla naziv="DomainObject.StvarniPocetakDatum_1">29. listopada 2024.</derivirana_varijabla>
  </DomainObject.StvarniPocetakDatum>
  <DomainObject.StvarniZavrsetakDatum>
    <izvorni_sadrzaj>29. listopada 2024.</izvorni_sadrzaj>
    <derivirana_varijabla naziv="DomainObject.StvarniZavrsetakDatum_1">29. listopada 2024.</derivirana_varijabla>
  </DomainObject.StvarniZavrsetakDatum>
  <DomainObject.PlaniraniZavrsetakDatum>
    <izvorni_sadrzaj>29. listopada 2024.</izvorni_sadrzaj>
    <derivirana_varijabla naziv="DomainObject.PlaniraniZavrsetakDatum_1">29. listopada 2024.</derivirana_varijabla>
  </DomainObject.PlaniraniZavrsetakDatum>
  <DomainObject.PlaniraniPocetakDatum>
    <izvorni_sadrzaj>29. listopada 2024.</izvorni_sadrzaj>
    <derivirana_varijabla naziv="DomainObject.PlaniraniPocetakDatum_1">29. listopada 2024.</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listopada 2024.</izvorni_sadrzaj>
    <derivirana_varijabla naziv="DomainObject.Zapisnik.DatumKreiranja_1">29. listopada 2024.</derivirana_varijabla>
  </DomainObject.Zapisnik.DatumKreiranja>
  <DomainObject.Zapisnik.ImovinskaKorist>
    <izvorni_sadrzaj/>
    <derivirana_varijabla naziv="DomainObject.Zapisnik.ImovinskaKorist_1"/>
  </DomainObject.Zapisnik.ImovinskaKorist>
  <DomainObject.Zapisnik.Oznaka>
    <izvorni_sadrzaj>St-6/2024-71</izvorni_sadrzaj>
    <derivirana_varijabla naziv="DomainObject.Zapisnik.Oznaka_1">St-6/2024-71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2024.</izvorni_sadrzaj>
    <derivirana_varijabla naziv="DomainObject.Predmet.DatumOsnivanja_1">3. siječnja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St-6/2024</izvorni_sadrzaj>
    <derivirana_varijabla naziv="DomainObject.Predmet.OznakaBroj_1">St-6/2024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predane u pisarnicu 10.4.2024.,
u ref. od 25.4.24.</izvorni_sadrzaj>
    <derivirana_varijabla naziv="DomainObject.Predmet.PrimjedbaSuca_1">Prijave tražbina predane u pisarnicu 10.4.2024.,
u ref. od 25.4.24.</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KASPAR PAPIR d.o.o. za preradu papira u stečaju</izvorni_sadrzaj>
    <derivirana_varijabla naziv="DomainObject.Predmet.StrankaFormated_1">  KASPAR PAPIR d.o.o. za preradu papira u stečaju</derivirana_varijabla>
  </DomainObject.Predmet.StrankaFormated>
  <DomainObject.Predmet.StrankaFormatedOIB>
    <izvorni_sadrzaj>  KASPAR PAPIR d.o.o. za preradu papira u stečaju, OIB 51965705632</izvorni_sadrzaj>
    <derivirana_varijabla naziv="DomainObject.Predmet.StrankaFormatedOIB_1">  KASPAR PAPIR d.o.o. za preradu papira u stečaju, OIB 51965705632</derivirana_varijabla>
  </DomainObject.Predmet.StrankaFormatedOIB>
  <DomainObject.Predmet.StrankaFormatedWithAdress>
    <izvorni_sadrzaj> KASPAR PAPIR d.o.o. za preradu papira u stečaju, Hrupine 9, 40323 Prelog</izvorni_sadrzaj>
    <derivirana_varijabla naziv="DomainObject.Predmet.StrankaFormatedWithAdress_1"> KASPAR PAPIR d.o.o. za preradu papira u stečaju, Hrupine 9, 40323 Prelog</derivirana_varijabla>
  </DomainObject.Predmet.StrankaFormatedWithAdress>
  <DomainObject.Predmet.StrankaFormatedWithAdressOIB>
    <izvorni_sadrzaj> KASPAR PAPIR d.o.o. za preradu papira u stečaju, OIB 51965705632, Hrupine 9, 40323 Prelog</izvorni_sadrzaj>
    <derivirana_varijabla naziv="DomainObject.Predmet.StrankaFormatedWithAdressOIB_1"> KASPAR PAPIR d.o.o. za preradu papira u stečaju, OIB 51965705632, Hrupine 9, 40323 Prelog</derivirana_varijabla>
  </DomainObject.Predmet.StrankaFormatedWithAdressOIB>
  <DomainObject.Predmet.StrankaWithAdress>
    <izvorni_sadrzaj>KASPAR PAPIR d.o.o. za preradu papira u stečaju Hrupine 9,40323 Prelog</izvorni_sadrzaj>
    <derivirana_varijabla naziv="DomainObject.Predmet.StrankaWithAdress_1">KASPAR PAPIR d.o.o. za preradu papira u stečaju Hrupine 9,40323 Prelog</derivirana_varijabla>
  </DomainObject.Predmet.StrankaWithAdress>
  <DomainObject.Predmet.StrankaWithAdressOIB>
    <izvorni_sadrzaj>KASPAR PAPIR d.o.o. za preradu papira u stečaju, OIB 51965705632, Hrupine 9,40323 Prelog</izvorni_sadrzaj>
    <derivirana_varijabla naziv="DomainObject.Predmet.StrankaWithAdressOIB_1">KASPAR PAPIR d.o.o. za preradu papira u stečaju, OIB 51965705632, Hrupine 9,40323 Prelog</derivirana_varijabla>
  </DomainObject.Predmet.StrankaWithAdressOIB>
  <DomainObject.Predmet.StrankaNazivFormated>
    <izvorni_sadrzaj>KASPAR PAPIR d.o.o. za preradu papira u stečaju</izvorni_sadrzaj>
    <derivirana_varijabla naziv="DomainObject.Predmet.StrankaNazivFormated_1">KASPAR PAPIR d.o.o. za preradu papira u stečaju</derivirana_varijabla>
  </DomainObject.Predmet.StrankaNazivFormated>
  <DomainObject.Predmet.StrankaNazivFormatedOIB>
    <izvorni_sadrzaj>KASPAR PAPIR d.o.o. za preradu papira u stečaju, OIB 51965705632</izvorni_sadrzaj>
    <derivirana_varijabla naziv="DomainObject.Predmet.StrankaNazivFormatedOIB_1">KASPAR PAPIR d.o.o. za preradu papira u stečaju, OIB 51965705632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KASPAR PAPIR d.o.o. za preradu papira u stečaju</item>
    </izvorni_sadrzaj>
    <derivirana_varijabla naziv="DomainObject.Predmet.StrankaListFormated_1">
      <item>KASPAR PAPIR d.o.o. za preradu papira u stečaju</item>
    </derivirana_varijabla>
  </DomainObject.Predmet.StrankaListFormated>
  <DomainObject.Predmet.StrankaListFormatedOIB>
    <izvorni_sadrzaj>
      <item>KASPAR PAPIR d.o.o. za preradu papira u stečaju, OIB 51965705632</item>
    </izvorni_sadrzaj>
    <derivirana_varijabla naziv="DomainObject.Predmet.StrankaListFormatedOIB_1">
      <item>KASPAR PAPIR d.o.o. za preradu papira u stečaju, OIB 51965705632</item>
    </derivirana_varijabla>
  </DomainObject.Predmet.StrankaListFormatedOIB>
  <DomainObject.Predmet.StrankaListFormatedWithAdress>
    <izvorni_sadrzaj>
      <item>KASPAR PAPIR d.o.o. za preradu papira u stečaju, Hrupine 9, 40323 Prelog</item>
    </izvorni_sadrzaj>
    <derivirana_varijabla naziv="DomainObject.Predmet.StrankaListFormatedWithAdress_1">
      <item>KASPAR PAPIR d.o.o. za preradu papira u stečaju, Hrupine 9, 40323 Prelog</item>
    </derivirana_varijabla>
  </DomainObject.Predmet.StrankaListFormatedWithAdress>
  <DomainObject.Predmet.StrankaListFormatedWithAdressOIB>
    <izvorni_sadrzaj>
      <item>KASPAR PAPIR d.o.o. za preradu papira u stečaju, OIB 51965705632, Hrupine 9, 40323 Prelog</item>
    </izvorni_sadrzaj>
    <derivirana_varijabla naziv="DomainObject.Predmet.StrankaListFormatedWithAdressOIB_1">
      <item>KASPAR PAPIR d.o.o. za preradu papira u stečaju, OIB 51965705632, Hrupine 9, 40323 Prelog</item>
    </derivirana_varijabla>
  </DomainObject.Predmet.StrankaListFormatedWithAdressOIB>
  <DomainObject.Predmet.StrankaListNazivFormated>
    <izvorni_sadrzaj>
      <item>KASPAR PAPIR d.o.o. za preradu papira u stečaju</item>
    </izvorni_sadrzaj>
    <derivirana_varijabla naziv="DomainObject.Predmet.StrankaListNazivFormated_1">
      <item>KASPAR PAPIR d.o.o. za preradu papira u stečaju</item>
    </derivirana_varijabla>
  </DomainObject.Predmet.StrankaListNazivFormated>
  <DomainObject.Predmet.StrankaListNazivFormatedOIB>
    <izvorni_sadrzaj>
      <item>KASPAR PAPIR d.o.o. za preradu papira u stečaju, OIB 51965705632</item>
    </izvorni_sadrzaj>
    <derivirana_varijabla naziv="DomainObject.Predmet.StrankaListNazivFormatedOIB_1">
      <item>KASPAR PAPIR d.o.o. za preradu papira u stečaju, OIB 51965705632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Mislav Bobić</item>
      <item>Ivo Žiža</item>
      <item>Policijska postaja Čakovec</item>
      <item>Ministarstvo financija, Porezna uprava, Područni ured Čakovec</item>
      <item>Općinski sud u Čakovcu</item>
      <item>Neven Marić</item>
      <item>Županijsko državno odvjetništvo u Varaždinu</item>
      <item>MEĐIMURJE PMP društvo s ograničenom odgovornošću za trgovinu i usluge</item>
      <item>MARMABE d.o.o. za trgovinu i usluge</item>
      <item>GORIČANE d.d.</item>
      <item>Davor Belić</item>
      <item>GRANOSTA društvo s ograničenom odgovornošću za trgovinu i usluge</item>
      <item>PRIVREDNA BANKA ZAGREB - DIONIČKO DRUŠTVO</item>
      <item>Krešimir Antulov</item>
      <item>Tomislav Perković (Centar akcija d.o.o.)</item>
      <item>Policijska postaja Prelog</item>
    </izvorni_sadrzaj>
    <derivirana_varijabla naziv="DomainObject.Predmet.OstaliListFormated_1">
      <item>Mislav Bobić</item>
      <item>Ivo Žiža</item>
      <item>Policijska postaja Čakovec</item>
      <item>Ministarstvo financija, Porezna uprava, Područni ured Čakovec</item>
      <item>Općinski sud u Čakovcu</item>
      <item>Neven Marić</item>
      <item>Županijsko državno odvjetništvo u Varaždinu</item>
      <item>MEĐIMURJE PMP društvo s ograničenom odgovornošću za trgovinu i usluge</item>
      <item>MARMABE d.o.o. za trgovinu i usluge</item>
      <item>GORIČANE d.d.</item>
      <item>Davor Belić</item>
      <item>GRANOSTA društvo s ograničenom odgovornošću za trgovinu i usluge</item>
      <item>PRIVREDNA BANKA ZAGREB - DIONIČKO DRUŠTVO</item>
      <item>Krešimir Antulov</item>
      <item>Tomislav Perković (Centar akcija d.o.o.)</item>
      <item>Policijska postaja Prelog</item>
    </derivirana_varijabla>
  </DomainObject.Predmet.OstaliListFormated>
  <DomainObject.Predmet.OstaliListFormatedOIB>
    <izvorni_sadrzaj>
      <item>Mislav Bobić, OIB 81690640698</item>
      <item>Ivo Žiža, OIB 08163835361</item>
      <item>Policijska postaja Čakovec</item>
      <item>Ministarstvo financija, Porezna uprava, Područni ured Čakovec</item>
      <item>Općinski sud u Čakovcu, OIB 55277272395</item>
      <item>Neven Marić, OIB 16108031196</item>
      <item>Županijsko državno odvjetništvo u Varaždinu</item>
      <item>MEĐIMURJE PMP društvo s ograničenom odgovornošću za trgovinu i usluge, OIB 32472378258</item>
      <item>MARMABE d.o.o. za trgovinu i usluge, OIB 03749768271</item>
      <item>GORIČANE d.d., OIB 64836058166</item>
      <item>Davor Belić, OIB 41438472977</item>
      <item>GRANOSTA društvo s ograničenom odgovornošću za trgovinu i usluge, OIB 47123143766</item>
      <item>PRIVREDNA BANKA ZAGREB - DIONIČKO DRUŠTVO, OIB 02535697732</item>
      <item>Krešimir Antulov</item>
      <item>Tomislav Perković (Centar akcija d.o.o.)</item>
      <item>Policijska postaja Prelog</item>
    </izvorni_sadrzaj>
    <derivirana_varijabla naziv="DomainObject.Predmet.OstaliListFormatedOIB_1">
      <item>Mislav Bobić, OIB 81690640698</item>
      <item>Ivo Žiža, OIB 08163835361</item>
      <item>Policijska postaja Čakovec</item>
      <item>Ministarstvo financija, Porezna uprava, Područni ured Čakovec</item>
      <item>Općinski sud u Čakovcu, OIB 55277272395</item>
      <item>Neven Marić, OIB 16108031196</item>
      <item>Županijsko državno odvjetništvo u Varaždinu</item>
      <item>MEĐIMURJE PMP društvo s ograničenom odgovornošću za trgovinu i usluge, OIB 32472378258</item>
      <item>MARMABE d.o.o. za trgovinu i usluge, OIB 03749768271</item>
      <item>GORIČANE d.d., OIB 64836058166</item>
      <item>Davor Belić, OIB 41438472977</item>
      <item>GRANOSTA društvo s ograničenom odgovornošću za trgovinu i usluge, OIB 47123143766</item>
      <item>PRIVREDNA BANKA ZAGREB - DIONIČKO DRUŠTVO, OIB 02535697732</item>
      <item>Krešimir Antulov</item>
      <item>Tomislav Perković (Centar akcija d.o.o.)</item>
      <item>Policijska postaja Prelog</item>
    </derivirana_varijabla>
  </DomainObject.Predmet.OstaliListFormatedOIB>
  <DomainObject.Predmet.OstaliListFormatedWithAdress>
    <izvorni_sadrzaj>
      <item>Mislav Bobić, Markovićev Trg 3, 10000 Zagreb</item>
      <item>Ivo Žiža, Starjak 1, 42230 Vinogradi Ludbreški</item>
      <item>Policijska postaja Čakovec, Ulica Jakova Gotovca 7, 40000 Čakovec</item>
      <item>Ministarstvo financija, Porezna uprava, Područni ured Čakovec, O. Keršovanija 11, 40000 Čakovec</item>
      <item>Općinski sud u Čakovcu, Ruđera Boškovića 18, 40000 Čakovec</item>
      <item>Neven Marić, Miramarska 24, 10000 Zagreb</item>
      <item>Županijsko državno odvjetništvo u Varaždinu, Braće Radića 2, 42000 Varaždin</item>
      <item>MEĐIMURJE PMP društvo s ograničenom odgovornošću za trgovinu i usluge, Ulica Zrinsko-Frankopanska 21, 40000 Čakovec</item>
      <item>MARMABE d.o.o. za trgovinu i usluge, Halić 275, 42204 Varaždin Breg</item>
      <item>GORIČANE d.d.</item>
      <item>Davor Belić, Vinogradi Odvojak 16, 10000 Zagreb</item>
      <item>GRANOSTA društvo s ograničenom odgovornošću za trgovinu i usluge, Ulica Rade Končara 13, 49252 Mihovljan</item>
      <item>PRIVREDNA BANKA ZAGREB - DIONIČKO DRUŠTVO, Radnička cesta 50, 10000 Zagreb</item>
      <item>Krešimir Antulov, Franje Kuhača 8, 43000 Bjelovar</item>
      <item>Tomislav Perković (Centar akcija d.o.o.), Sudiščak 7, 10000 Zagreb</item>
      <item>Policijska postaja Prelog, Trg Bana Jelačića 4, 40323 Prelog</item>
    </izvorni_sadrzaj>
    <derivirana_varijabla naziv="DomainObject.Predmet.OstaliListFormatedWithAdress_1">
      <item>Mislav Bobić, Markovićev Trg 3, 10000 Zagreb</item>
      <item>Ivo Žiža, Starjak 1, 42230 Vinogradi Ludbreški</item>
      <item>Policijska postaja Čakovec, Ulica Jakova Gotovca 7, 40000 Čakovec</item>
      <item>Ministarstvo financija, Porezna uprava, Područni ured Čakovec, O. Keršovanija 11, 40000 Čakovec</item>
      <item>Općinski sud u Čakovcu, Ruđera Boškovića 18, 40000 Čakovec</item>
      <item>Neven Marić, Miramarska 24, 10000 Zagreb</item>
      <item>Županijsko državno odvjetništvo u Varaždinu, Braće Radića 2, 42000 Varaždin</item>
      <item>MEĐIMURJE PMP društvo s ograničenom odgovornošću za trgovinu i usluge, Ulica Zrinsko-Frankopanska 21, 40000 Čakovec</item>
      <item>MARMABE d.o.o. za trgovinu i usluge, Halić 275, 42204 Varaždin Breg</item>
      <item>GORIČANE d.d.</item>
      <item>Davor Belić, Vinogradi Odvojak 16, 10000 Zagreb</item>
      <item>GRANOSTA društvo s ograničenom odgovornošću za trgovinu i usluge, Ulica Rade Končara 13, 49252 Mihovljan</item>
      <item>PRIVREDNA BANKA ZAGREB - DIONIČKO DRUŠTVO, Radnička cesta 50, 10000 Zagreb</item>
      <item>Krešimir Antulov, Franje Kuhača 8, 43000 Bjelovar</item>
      <item>Tomislav Perković (Centar akcija d.o.o.), Sudiščak 7, 10000 Zagreb</item>
      <item>Policijska postaja Prelog, Trg Bana Jelačića 4, 40323 Prelog</item>
    </derivirana_varijabla>
  </DomainObject.Predmet.OstaliListFormatedWithAdress>
  <DomainObject.Predmet.OstaliListFormatedWithAdressOIB>
    <izvorni_sadrzaj>
      <item>Mislav Bobić, OIB 81690640698, Markovićev Trg 3, 10000 Zagreb</item>
      <item>Ivo Žiža, OIB 08163835361, Starjak 1, 42230 Vinogradi Ludbreški</item>
      <item>Policijska postaja Čakovec, Ulica Jakova Gotovca 7, 40000 Čakovec</item>
      <item>Ministarstvo financija, Porezna uprava, Područni ured Čakovec, O. Keršovanija 11, 40000 Čakovec</item>
      <item>Općinski sud u Čakovcu, OIB 55277272395, Ruđera Boškovića 18, 40000 Čakovec</item>
      <item>Neven Marić, OIB 16108031196, Miramarska 24, 10000 Zagreb</item>
      <item>Županijsko državno odvjetništvo u Varaždinu, Braće Radića 2, 42000 Varaždin</item>
      <item>MEĐIMURJE PMP društvo s ograničenom odgovornošću za trgovinu i usluge, OIB 32472378258, Ulica Zrinsko-Frankopanska 21, 40000 Čakovec</item>
      <item>MARMABE d.o.o. za trgovinu i usluge, OIB 03749768271, Halić 275, 42204 Varaždin Breg</item>
      <item>GORIČANE d.d., OIB 64836058166</item>
      <item>Davor Belić, OIB 41438472977, Vinogradi Odvojak 16, 10000 Zagreb</item>
      <item>GRANOSTA društvo s ograničenom odgovornošću za trgovinu i usluge, OIB 47123143766, Ulica Rade Končara 13, 49252 Mihovljan</item>
      <item>PRIVREDNA BANKA ZAGREB - DIONIČKO DRUŠTVO, OIB 02535697732, Radnička cesta 50, 10000 Zagreb</item>
      <item>Krešimir Antulov, Franje Kuhača 8, 43000 Bjelovar</item>
      <item>Tomislav Perković (Centar akcija d.o.o.), Sudiščak 7, 10000 Zagreb</item>
      <item>Policijska postaja Prelog, Trg Bana Jelačića 4, 40323 Prelog</item>
    </izvorni_sadrzaj>
    <derivirana_varijabla naziv="DomainObject.Predmet.OstaliListFormatedWithAdressOIB_1">
      <item>Mislav Bobić, OIB 81690640698, Markovićev Trg 3, 10000 Zagreb</item>
      <item>Ivo Žiža, OIB 08163835361, Starjak 1, 42230 Vinogradi Ludbreški</item>
      <item>Policijska postaja Čakovec, Ulica Jakova Gotovca 7, 40000 Čakovec</item>
      <item>Ministarstvo financija, Porezna uprava, Područni ured Čakovec, O. Keršovanija 11, 40000 Čakovec</item>
      <item>Općinski sud u Čakovcu, OIB 55277272395, Ruđera Boškovića 18, 40000 Čakovec</item>
      <item>Neven Marić, OIB 16108031196, Miramarska 24, 10000 Zagreb</item>
      <item>Županijsko državno odvjetništvo u Varaždinu, Braće Radića 2, 42000 Varaždin</item>
      <item>MEĐIMURJE PMP društvo s ograničenom odgovornošću za trgovinu i usluge, OIB 32472378258, Ulica Zrinsko-Frankopanska 21, 40000 Čakovec</item>
      <item>MARMABE d.o.o. za trgovinu i usluge, OIB 03749768271, Halić 275, 42204 Varaždin Breg</item>
      <item>GORIČANE d.d., OIB 64836058166</item>
      <item>Davor Belić, OIB 41438472977, Vinogradi Odvojak 16, 10000 Zagreb</item>
      <item>GRANOSTA društvo s ograničenom odgovornošću za trgovinu i usluge, OIB 47123143766, Ulica Rade Končara 13, 49252 Mihovljan</item>
      <item>PRIVREDNA BANKA ZAGREB - DIONIČKO DRUŠTVO, OIB 02535697732, Radnička cesta 50, 10000 Zagreb</item>
      <item>Krešimir Antulov, Franje Kuhača 8, 43000 Bjelovar</item>
      <item>Tomislav Perković (Centar akcija d.o.o.), Sudiščak 7, 10000 Zagreb</item>
      <item>Policijska postaja Prelog, Trg Bana Jelačića 4, 40323 Prelog</item>
    </derivirana_varijabla>
  </DomainObject.Predmet.OstaliListFormatedWithAdressOIB>
  <DomainObject.Predmet.OstaliListNazivFormated>
    <izvorni_sadrzaj>
      <item>Mislav Bobić</item>
      <item>Ivo Žiža</item>
      <item>Policijska postaja Čakovec</item>
      <item>Ministarstvo financija, Porezna uprava, Područni ured Čakovec</item>
      <item>Općinski sud u Čakovcu</item>
      <item>Neven Marić</item>
      <item>Županijsko državno odvjetništvo u Varaždinu</item>
      <item>MEĐIMURJE PMP društvo s ograničenom odgovornošću za trgovinu i usluge</item>
      <item>MARMABE d.o.o. za trgovinu i usluge</item>
      <item>GORIČANE d.d.</item>
      <item>Davor Belić</item>
      <item>GRANOSTA društvo s ograničenom odgovornošću za trgovinu i usluge</item>
      <item>PRIVREDNA BANKA ZAGREB - DIONIČKO DRUŠTVO</item>
      <item>Krešimir Antulov</item>
      <item>Tomislav Perković (Centar akcija d.o.o.)</item>
      <item>Policijska postaja Prelog</item>
    </izvorni_sadrzaj>
    <derivirana_varijabla naziv="DomainObject.Predmet.OstaliListNazivFormated_1">
      <item>Mislav Bobić</item>
      <item>Ivo Žiža</item>
      <item>Policijska postaja Čakovec</item>
      <item>Ministarstvo financija, Porezna uprava, Područni ured Čakovec</item>
      <item>Općinski sud u Čakovcu</item>
      <item>Neven Marić</item>
      <item>Županijsko državno odvjetništvo u Varaždinu</item>
      <item>MEĐIMURJE PMP društvo s ograničenom odgovornošću za trgovinu i usluge</item>
      <item>MARMABE d.o.o. za trgovinu i usluge</item>
      <item>GORIČANE d.d.</item>
      <item>Davor Belić</item>
      <item>GRANOSTA društvo s ograničenom odgovornošću za trgovinu i usluge</item>
      <item>PRIVREDNA BANKA ZAGREB - DIONIČKO DRUŠTVO</item>
      <item>Krešimir Antulov</item>
      <item>Tomislav Perković (Centar akcija d.o.o.)</item>
      <item>Policijska postaja Prelog</item>
    </derivirana_varijabla>
  </DomainObject.Predmet.OstaliListNazivFormated>
  <DomainObject.Predmet.OstaliListNazivFormatedOIB>
    <izvorni_sadrzaj>
      <item>Mislav Bobić, OIB 81690640698</item>
      <item>Ivo Žiža, OIB 08163835361</item>
      <item>Policijska postaja Čakovec</item>
      <item>Ministarstvo financija, Porezna uprava, Područni ured Čakovec</item>
      <item>Općinski sud u Čakovcu, OIB 55277272395</item>
      <item>Neven Marić, OIB 16108031196</item>
      <item>Županijsko državno odvjetništvo u Varaždinu</item>
      <item>MEĐIMURJE PMP društvo s ograničenom odgovornošću za trgovinu i usluge, OIB 32472378258</item>
      <item>MARMABE d.o.o. za trgovinu i usluge, OIB 03749768271</item>
      <item>GORIČANE d.d., OIB 64836058166</item>
      <item>Davor Belić, OIB 41438472977</item>
      <item>GRANOSTA društvo s ograničenom odgovornošću za trgovinu i usluge, OIB 47123143766</item>
      <item>PRIVREDNA BANKA ZAGREB - DIONIČKO DRUŠTVO, OIB 02535697732</item>
      <item>Krešimir Antulov</item>
      <item>Tomislav Perković (Centar akcija d.o.o.)</item>
      <item>Policijska postaja Prelog</item>
    </izvorni_sadrzaj>
    <derivirana_varijabla naziv="DomainObject.Predmet.OstaliListNazivFormatedOIB_1">
      <item>Mislav Bobić, OIB 81690640698</item>
      <item>Ivo Žiža, OIB 08163835361</item>
      <item>Policijska postaja Čakovec</item>
      <item>Ministarstvo financija, Porezna uprava, Područni ured Čakovec</item>
      <item>Općinski sud u Čakovcu, OIB 55277272395</item>
      <item>Neven Marić, OIB 16108031196</item>
      <item>Županijsko državno odvjetništvo u Varaždinu</item>
      <item>MEĐIMURJE PMP društvo s ograničenom odgovornošću za trgovinu i usluge, OIB 32472378258</item>
      <item>MARMABE d.o.o. za trgovinu i usluge, OIB 03749768271</item>
      <item>GORIČANE d.d., OIB 64836058166</item>
      <item>Davor Belić, OIB 41438472977</item>
      <item>GRANOSTA društvo s ograničenom odgovornošću za trgovinu i usluge, OIB 47123143766</item>
      <item>PRIVREDNA BANKA ZAGREB - DIONIČKO DRUŠTVO, OIB 02535697732</item>
      <item>Krešimir Antulov</item>
      <item>Tomislav Perković (Centar akcija d.o.o.)</item>
      <item>Policijska postaja Prelog</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listopada 2024.</izvorni_sadrzaj>
    <derivirana_varijabla naziv="DomainObject.Datum_1">29. listopada 2024.</derivirana_varijabla>
  </DomainObject.Datum>
  <DomainObject.PoslovniBrojDokumenta>
    <izvorni_sadrzaj>St-6/2024-71</izvorni_sadrzaj>
    <derivirana_varijabla naziv="DomainObject.PoslovniBrojDokumenta_1">St-6/2024-71</derivirana_varijabla>
  </DomainObject.PoslovniBrojDokumenta>
  <DomainObject.Predmet.StrankaIDrugi>
    <izvorni_sadrzaj>KASPAR PAPIR d.o.o. za preradu papira u stečaju</izvorni_sadrzaj>
    <derivirana_varijabla naziv="DomainObject.Predmet.StrankaIDrugi_1">KASPAR PAPIR d.o.o. za preradu papira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KASPAR PAPIR d.o.o. za preradu papira u stečaju, OIB 51965705632, Hrupine 9, 40323 Prelog</izvorni_sadrzaj>
    <derivirana_varijabla naziv="DomainObject.Predmet.StrankaIDrugiAdressOIB_1">KASPAR PAPIR d.o.o. za preradu papira u stečaju, OIB 51965705632, Hrupine 9, 40323 Prelog</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KASPAR PAPIR d.o.o. za preradu papira u stečaju</item>
      <item>Mislav Bobić</item>
      <item>Ivo Žiža</item>
      <item>Policijska postaja Čakovec</item>
      <item>Ministarstvo financija, Porezna uprava, Područni ured Čakovec</item>
      <item>Općinski sud u Čakovcu</item>
      <item>Neven Marić</item>
      <item>Županijsko državno odvjetništvo u Varaždinu</item>
      <item>MEĐIMURJE PMP društvo s ograničenom odgovornošću za trgovinu i usluge</item>
      <item>MARMABE d.o.o. za trgovinu i usluge</item>
      <item>GORIČANE d.d.</item>
      <item>Davor Belić</item>
      <item>GRANOSTA društvo s ograničenom odgovornošću za trgovinu i usluge</item>
      <item>PRIVREDNA BANKA ZAGREB - DIONIČKO DRUŠTVO</item>
      <item>Krešimir Antulov</item>
      <item>Tomislav Perković (Centar akcija d.o.o.)</item>
      <item>Policijska postaja Prelog</item>
    </izvorni_sadrzaj>
    <derivirana_varijabla naziv="DomainObject.Predmet.SudioniciListNaziv_1">
      <item>KASPAR PAPIR d.o.o. za preradu papira u stečaju</item>
      <item>Mislav Bobić</item>
      <item>Ivo Žiža</item>
      <item>Policijska postaja Čakovec</item>
      <item>Ministarstvo financija, Porezna uprava, Područni ured Čakovec</item>
      <item>Općinski sud u Čakovcu</item>
      <item>Neven Marić</item>
      <item>Županijsko državno odvjetništvo u Varaždinu</item>
      <item>MEĐIMURJE PMP društvo s ograničenom odgovornošću za trgovinu i usluge</item>
      <item>MARMABE d.o.o. za trgovinu i usluge</item>
      <item>GORIČANE d.d.</item>
      <item>Davor Belić</item>
      <item>GRANOSTA društvo s ograničenom odgovornošću za trgovinu i usluge</item>
      <item>PRIVREDNA BANKA ZAGREB - DIONIČKO DRUŠTVO</item>
      <item>Krešimir Antulov</item>
      <item>Tomislav Perković (Centar akcija d.o.o.)</item>
      <item>Policijska postaja Prelog</item>
    </derivirana_varijabla>
  </DomainObject.Predmet.SudioniciListNaziv>
  <DomainObject.Predmet.SudioniciListAdressOIB>
    <izvorni_sadrzaj>
      <item>KASPAR PAPIR d.o.o. za preradu papira u stečaju, OIB 51965705632, Hrupine 9,40323 Prelog</item>
      <item>Mislav Bobić, OIB 81690640698, Markovićev Trg 3,10000 Zagreb</item>
      <item>Ivo Žiža, OIB 08163835361, Starjak 1,42230 Vinogradi Ludbreški</item>
      <item>Policijska postaja Čakovec, Ulica Jakova Gotovca 7,40000 Čakovec</item>
      <item>Ministarstvo financija, Porezna uprava, Područni ured Čakovec, O. Keršovanija 11,40000 Čakovec</item>
      <item>Općinski sud u Čakovcu, OIB 55277272395, Ruđera Boškovića 18,40000 Čakovec</item>
      <item>Neven Marić, OIB 16108031196, Miramarska 24,10000 Zagreb</item>
      <item>Županijsko državno odvjetništvo u Varaždinu, Braće Radića 2,42000 Varaždin</item>
      <item>MEĐIMURJE PMP društvo s ograničenom odgovornošću za trgovinu i usluge, OIB 32472378258, Ulica Zrinsko-Frankopanska 21,40000 Čakovec</item>
      <item>MARMABE d.o.o. za trgovinu i usluge, OIB 03749768271, Halić 275,42204 Varaždin Breg</item>
      <item>GORIČANE d.d., OIB 64836058166</item>
      <item>Davor Belić, OIB 41438472977, Vinogradi Odvojak 16,10000 Zagreb</item>
      <item>GRANOSTA društvo s ograničenom odgovornošću za trgovinu i usluge, OIB 47123143766, Ulica Rade Končara 13,49252 Mihovljan</item>
      <item>PRIVREDNA BANKA ZAGREB - DIONIČKO DRUŠTVO, OIB 02535697732, Radnička cesta 50,10000 Zagreb</item>
      <item>Krešimir Antulov, Franje Kuhača 8,43000 Bjelovar</item>
      <item>Tomislav Perković (Centar akcija d.o.o.), Sudiščak 7,10000 Zagreb</item>
      <item>Policijska postaja Prelog, Trg Bana Jelačića 4,40323 Prelog</item>
    </izvorni_sadrzaj>
    <derivirana_varijabla naziv="DomainObject.Predmet.SudioniciListAdressOIB_1">
      <item>KASPAR PAPIR d.o.o. za preradu papira u stečaju, OIB 51965705632, Hrupine 9,40323 Prelog</item>
      <item>Mislav Bobić, OIB 81690640698, Markovićev Trg 3,10000 Zagreb</item>
      <item>Ivo Žiža, OIB 08163835361, Starjak 1,42230 Vinogradi Ludbreški</item>
      <item>Policijska postaja Čakovec, Ulica Jakova Gotovca 7,40000 Čakovec</item>
      <item>Ministarstvo financija, Porezna uprava, Područni ured Čakovec, O. Keršovanija 11,40000 Čakovec</item>
      <item>Općinski sud u Čakovcu, OIB 55277272395, Ruđera Boškovića 18,40000 Čakovec</item>
      <item>Neven Marić, OIB 16108031196, Miramarska 24,10000 Zagreb</item>
      <item>Županijsko državno odvjetništvo u Varaždinu, Braće Radića 2,42000 Varaždin</item>
      <item>MEĐIMURJE PMP društvo s ograničenom odgovornošću za trgovinu i usluge, OIB 32472378258, Ulica Zrinsko-Frankopanska 21,40000 Čakovec</item>
      <item>MARMABE d.o.o. za trgovinu i usluge, OIB 03749768271, Halić 275,42204 Varaždin Breg</item>
      <item>GORIČANE d.d., OIB 64836058166</item>
      <item>Davor Belić, OIB 41438472977, Vinogradi Odvojak 16,10000 Zagreb</item>
      <item>GRANOSTA društvo s ograničenom odgovornošću za trgovinu i usluge, OIB 47123143766, Ulica Rade Končara 13,49252 Mihovljan</item>
      <item>PRIVREDNA BANKA ZAGREB - DIONIČKO DRUŠTVO, OIB 02535697732, Radnička cesta 50,10000 Zagreb</item>
      <item>Krešimir Antulov, Franje Kuhača 8,43000 Bjelovar</item>
      <item>Tomislav Perković (Centar akcija d.o.o.), Sudiščak 7,10000 Zagreb</item>
      <item>Policijska postaja Prelog, Trg Bana Jelačića 4,40323 Prelog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51965705632</item>
      <item>, OIB 81690640698</item>
      <item>, OIB 08163835361</item>
      <item>, OIB null</item>
      <item>, OIB null</item>
      <item>, OIB 55277272395</item>
      <item>, OIB 16108031196</item>
      <item>, OIB null</item>
      <item>, OIB 32472378258</item>
      <item>, OIB 03749768271</item>
      <item>, OIB 64836058166</item>
      <item>, OIB 41438472977</item>
      <item>, OIB 47123143766</item>
      <item>, OIB 02535697732</item>
      <item>, OIB null</item>
      <item>, OIB null</item>
      <item>, OIB null</item>
    </izvorni_sadrzaj>
    <derivirana_varijabla naziv="DomainObject.Predmet.SudioniciListNazivOIB_1">
      <item>, OIB 51965705632</item>
      <item>, OIB 81690640698</item>
      <item>, OIB 08163835361</item>
      <item>, OIB null</item>
      <item>, OIB null</item>
      <item>, OIB 55277272395</item>
      <item>, OIB 16108031196</item>
      <item>, OIB null</item>
      <item>, OIB 32472378258</item>
      <item>, OIB 03749768271</item>
      <item>, OIB 64836058166</item>
      <item>, OIB 41438472977</item>
      <item>, OIB 47123143766</item>
      <item>, OIB 02535697732</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Žiža, OIB 08163835361,  Starjak 1, Vinogradi Ludbreški , 42230 Ludbreg</item>
    </izvorni_sadrzaj>
    <derivirana_varijabla naziv="DomainObject.Predmet.StecajniUpraviteljiListAddressOIB_1">
      <item>Ivo Žiža, OIB 08163835361,  Starjak 1, Vinogradi Ludbreški , 42230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kolovoza 2023.</izvorni_sadrzaj>
    <derivirana_varijabla naziv="DomainObject.Predmet.DatumPocetkaProcesa_1">30. kolovoza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r="http://schemas.openxmlformats.org/officeDocument/2006/relationships" xmlns:w="http://schemas.openxmlformats.org/wordprocessingml/2006/main"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A76950-7C89-4366-B99A-F9A86A54E770}">
  <ds:schemaRefs>
    <ds:schemaRef ds:uri="http://schemas.openxmlformats.org/officeDocument/2006/relationships"/>
    <ds:schemaRef ds:uri="http://schemas.openxmlformats.org/wordprocessingml/2006/main"/>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1139</properties:Words>
  <properties:Characters>6299</properties:Characters>
  <properties:Lines>168</properties:Lines>
  <properties:Paragraphs>48</properties:Paragraphs>
  <properties:TotalTime>147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7476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2019-06-03T10:23:00Z</dcterms:created>
  <dc:creator>Mirjana Mlinarić</dc:creator>
  <cp:lastModifiedBy>Nevenka Vuković</cp:lastModifiedBy>
  <cp:lastPrinted>2022-03-24T08:09:00Z</cp:lastPrinted>
  <dcterms:modified xmlns:xsi="http://www.w3.org/2001/XMLSchema-instance" xsi:type="dcterms:W3CDTF">2024-10-29T09:31:00Z</dcterms:modified>
  <cp:revision>32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St-6/2024-71 / Zapisnik - Ročište (St-6-24-71 Zapisnik - ročište za utvrđenje vrijednosti nekretnine.docx)</vt:lpwstr>
  </prop:property>
  <prop:property fmtid="{D5CDD505-2E9C-101B-9397-08002B2CF9AE}" pid="4" name="CC_coloring">
    <vt:bool>false</vt:bool>
  </prop:property>
  <prop:property fmtid="{D5CDD505-2E9C-101B-9397-08002B2CF9AE}" pid="5" name="BrojStranica">
    <vt:i4>4</vt:i4>
  </prop:property>
</prop:Properties>
</file>